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spacing w:after="0" w:line="240" w:lineRule="auto"/>
        <w:ind/>
        <w:rPr>
          <w:rFonts w:ascii="Times New Roman" w:hAnsi="Times New Roman"/>
          <w:b w:val="1"/>
          <w:sz w:val="28"/>
        </w:rPr>
      </w:pPr>
    </w:p>
    <w:p w14:paraId="02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3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Приложение </w:t>
      </w:r>
    </w:p>
    <w:p w14:paraId="04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 xml:space="preserve">к </w:t>
      </w:r>
      <w:r>
        <w:rPr>
          <w:rFonts w:ascii="Times New Roman" w:hAnsi="Times New Roman"/>
          <w:sz w:val="20"/>
        </w:rPr>
        <w:t>п</w:t>
      </w:r>
      <w:r>
        <w:rPr>
          <w:rFonts w:ascii="Times New Roman" w:hAnsi="Times New Roman"/>
          <w:sz w:val="20"/>
        </w:rPr>
        <w:t>остановлению Территориальной избирательной комиссии</w:t>
      </w:r>
    </w:p>
    <w:p w14:paraId="05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города</w:t>
      </w:r>
      <w:r>
        <w:rPr>
          <w:rFonts w:ascii="Times New Roman" w:hAnsi="Times New Roman"/>
          <w:sz w:val="20"/>
        </w:rPr>
        <w:t xml:space="preserve"> Таганрога (</w:t>
      </w:r>
      <w:r>
        <w:rPr>
          <w:rFonts w:ascii="Times New Roman" w:hAnsi="Times New Roman"/>
          <w:sz w:val="20"/>
        </w:rPr>
        <w:t>западная</w:t>
      </w:r>
      <w:r>
        <w:rPr>
          <w:rFonts w:ascii="Times New Roman" w:hAnsi="Times New Roman"/>
          <w:sz w:val="20"/>
        </w:rPr>
        <w:t xml:space="preserve">) </w:t>
      </w:r>
      <w:r>
        <w:rPr>
          <w:rFonts w:ascii="Times New Roman" w:hAnsi="Times New Roman"/>
          <w:sz w:val="20"/>
        </w:rPr>
        <w:t>Ростов</w:t>
      </w:r>
      <w:r>
        <w:rPr>
          <w:rFonts w:ascii="Times New Roman" w:hAnsi="Times New Roman"/>
          <w:sz w:val="20"/>
        </w:rPr>
        <w:t xml:space="preserve">ской области </w:t>
      </w:r>
    </w:p>
    <w:p w14:paraId="06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  <w:r>
        <w:rPr>
          <w:rFonts w:ascii="Times New Roman" w:hAnsi="Times New Roman"/>
          <w:sz w:val="20"/>
        </w:rPr>
        <w:t>от 2</w:t>
      </w:r>
      <w:r>
        <w:rPr>
          <w:rFonts w:ascii="Times New Roman" w:hAnsi="Times New Roman"/>
          <w:sz w:val="20"/>
        </w:rPr>
        <w:t xml:space="preserve">7 </w:t>
      </w:r>
      <w:r>
        <w:rPr>
          <w:rFonts w:ascii="Times New Roman" w:hAnsi="Times New Roman"/>
          <w:sz w:val="20"/>
        </w:rPr>
        <w:t>декабря</w:t>
      </w:r>
      <w:r>
        <w:rPr>
          <w:rFonts w:ascii="Times New Roman" w:hAnsi="Times New Roman"/>
          <w:sz w:val="20"/>
        </w:rPr>
        <w:t xml:space="preserve"> 20</w:t>
      </w:r>
      <w:r>
        <w:rPr>
          <w:rFonts w:ascii="Times New Roman" w:hAnsi="Times New Roman"/>
          <w:sz w:val="20"/>
        </w:rPr>
        <w:t>24</w:t>
      </w:r>
      <w:r>
        <w:rPr>
          <w:rFonts w:ascii="Times New Roman" w:hAnsi="Times New Roman"/>
          <w:sz w:val="20"/>
        </w:rPr>
        <w:t xml:space="preserve"> г. № 126-2</w:t>
      </w:r>
    </w:p>
    <w:p w14:paraId="07000000">
      <w:pPr>
        <w:spacing w:after="0" w:line="240" w:lineRule="auto"/>
        <w:ind w:firstLine="0" w:left="6120"/>
        <w:jc w:val="right"/>
        <w:rPr>
          <w:rFonts w:ascii="Times New Roman" w:hAnsi="Times New Roman"/>
          <w:sz w:val="20"/>
        </w:rPr>
      </w:pPr>
    </w:p>
    <w:p w14:paraId="08000000">
      <w:pPr>
        <w:tabs>
          <w:tab w:leader="none" w:pos="900" w:val="left"/>
          <w:tab w:leader="none" w:pos="1080" w:val="left"/>
        </w:tabs>
        <w:spacing w:after="0" w:line="240" w:lineRule="auto"/>
        <w:ind w:firstLine="708" w:left="0"/>
        <w:jc w:val="both"/>
        <w:rPr>
          <w:rFonts w:ascii="Times New Roman" w:hAnsi="Times New Roman"/>
          <w:sz w:val="28"/>
        </w:rPr>
      </w:pPr>
    </w:p>
    <w:p w14:paraId="09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План обучения лиц, зачисленных в резерв составов </w:t>
      </w:r>
    </w:p>
    <w:p w14:paraId="0A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уч</w:t>
      </w:r>
      <w:r>
        <w:rPr>
          <w:rFonts w:ascii="Times New Roman" w:hAnsi="Times New Roman"/>
          <w:b w:val="1"/>
          <w:sz w:val="28"/>
        </w:rPr>
        <w:t xml:space="preserve">астковых избирательных комиссий </w:t>
      </w:r>
      <w:r>
        <w:rPr>
          <w:rFonts w:ascii="Times New Roman" w:hAnsi="Times New Roman"/>
          <w:b w:val="1"/>
          <w:sz w:val="28"/>
        </w:rPr>
        <w:t xml:space="preserve">по программе </w:t>
      </w:r>
    </w:p>
    <w:p w14:paraId="0B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учебно-практического курса </w:t>
      </w:r>
    </w:p>
    <w:p w14:paraId="0C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«</w:t>
      </w:r>
      <w:r>
        <w:rPr>
          <w:rFonts w:ascii="Times New Roman" w:hAnsi="Times New Roman"/>
          <w:b w:val="1"/>
          <w:sz w:val="28"/>
        </w:rPr>
        <w:t>Подготовка резерва составов участковых комиссий</w:t>
      </w:r>
      <w:r>
        <w:rPr>
          <w:rFonts w:ascii="Times New Roman" w:hAnsi="Times New Roman"/>
          <w:b w:val="1"/>
          <w:sz w:val="28"/>
        </w:rPr>
        <w:t>»</w:t>
      </w:r>
    </w:p>
    <w:p w14:paraId="0D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E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0F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0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Паспорт программы</w:t>
      </w:r>
    </w:p>
    <w:p w14:paraId="11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2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3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  <w:bookmarkStart w:id="1" w:name="_GoBack"/>
      <w:bookmarkEnd w:id="1"/>
    </w:p>
    <w:tbl>
      <w:tblPr>
        <w:tblStyle w:val="Style_1"/>
        <w:tblW w:type="auto" w:w="0"/>
        <w:jc w:val="center"/>
        <w:tblInd w:type="dxa" w:w="1368"/>
        <w:tblLayout w:type="fixed"/>
      </w:tblPr>
      <w:tblGrid>
        <w:gridCol w:w="7954"/>
      </w:tblGrid>
      <w:tr>
        <w:tc>
          <w:tcPr>
            <w:tcW w:type="dxa" w:w="795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14000000">
            <w:pPr>
              <w:pStyle w:val="Style_2"/>
              <w:numPr>
                <w:ilvl w:val="0"/>
                <w:numId w:val="1"/>
              </w:numPr>
              <w:tabs>
                <w:tab w:leader="none" w:pos="360" w:val="left"/>
              </w:tabs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Цель обучения:</w:t>
            </w:r>
          </w:p>
          <w:p w14:paraId="15000000">
            <w:pPr>
              <w:tabs>
                <w:tab w:leader="none" w:pos="1080" w:val="left"/>
              </w:tabs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 xml:space="preserve">      </w:t>
            </w:r>
            <w:r>
              <w:rPr>
                <w:rFonts w:ascii="Times New Roman" w:hAnsi="Times New Roman"/>
                <w:sz w:val="28"/>
              </w:rPr>
              <w:t xml:space="preserve">Обучение </w:t>
            </w:r>
            <w:r>
              <w:rPr>
                <w:rFonts w:ascii="Times New Roman" w:hAnsi="Times New Roman"/>
                <w:sz w:val="28"/>
              </w:rPr>
              <w:t xml:space="preserve">лиц, зачисленных в </w:t>
            </w:r>
            <w:r>
              <w:rPr>
                <w:rFonts w:ascii="Times New Roman" w:hAnsi="Times New Roman"/>
                <w:sz w:val="28"/>
              </w:rPr>
              <w:t>резерв составов участковых избирательных комиссий</w:t>
            </w:r>
            <w:r>
              <w:rPr>
                <w:rFonts w:ascii="Times New Roman" w:hAnsi="Times New Roman"/>
                <w:sz w:val="28"/>
              </w:rPr>
              <w:t>,</w:t>
            </w:r>
            <w:r>
              <w:rPr>
                <w:rFonts w:ascii="Times New Roman" w:hAnsi="Times New Roman"/>
                <w:sz w:val="28"/>
              </w:rPr>
              <w:t xml:space="preserve"> по вопросам участия в организации и проведении выборов</w:t>
            </w:r>
          </w:p>
          <w:p w14:paraId="16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Категория слушателей:</w:t>
            </w:r>
          </w:p>
          <w:p w14:paraId="17000000">
            <w:pPr>
              <w:spacing w:after="0" w:line="240" w:lineRule="auto"/>
              <w:ind w:firstLine="0" w:left="720"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sz w:val="28"/>
              </w:rPr>
              <w:t>Лица, зачисленные в р</w:t>
            </w:r>
            <w:r>
              <w:rPr>
                <w:rFonts w:ascii="Times New Roman" w:hAnsi="Times New Roman"/>
                <w:sz w:val="28"/>
              </w:rPr>
              <w:t xml:space="preserve">езерв составов УИК </w:t>
            </w:r>
          </w:p>
          <w:p w14:paraId="18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Форма обучения – </w:t>
            </w:r>
            <w:r>
              <w:rPr>
                <w:rFonts w:ascii="Times New Roman" w:hAnsi="Times New Roman"/>
                <w:b w:val="1"/>
                <w:sz w:val="28"/>
              </w:rPr>
              <w:t>дистанционная</w:t>
            </w:r>
            <w:r>
              <w:rPr>
                <w:rFonts w:ascii="Times New Roman" w:hAnsi="Times New Roman"/>
                <w:b w:val="1"/>
                <w:sz w:val="28"/>
              </w:rPr>
              <w:t xml:space="preserve"> / очная</w:t>
            </w:r>
          </w:p>
          <w:p w14:paraId="19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</w:pPr>
            <w:r>
              <w:rPr>
                <w:rFonts w:ascii="Times New Roman" w:hAnsi="Times New Roman"/>
                <w:b w:val="1"/>
                <w:sz w:val="28"/>
              </w:rPr>
              <w:t>Ресурс:</w:t>
            </w:r>
            <w:r>
              <w:rPr>
                <w:rFonts w:ascii="Times New Roman" w:hAnsi="Times New Roman"/>
                <w:b w:val="1"/>
                <w:sz w:val="28"/>
              </w:rPr>
              <w:t xml:space="preserve"> </w:t>
            </w:r>
            <w:r>
              <w:rPr>
                <w:rStyle w:val="Style_3_ch"/>
                <w:rFonts w:ascii="Times New Roman" w:hAnsi="Times New Roman"/>
                <w:sz w:val="28"/>
              </w:rPr>
              <w:fldChar w:fldCharType="begin"/>
            </w:r>
            <w:r>
              <w:rPr>
                <w:rStyle w:val="Style_3_ch"/>
                <w:rFonts w:ascii="Times New Roman" w:hAnsi="Times New Roman"/>
                <w:sz w:val="28"/>
              </w:rPr>
              <w:instrText>HYPERLINK "https://www.rcoit.ru/obuch/"</w:instrText>
            </w:r>
            <w:r>
              <w:rPr>
                <w:rStyle w:val="Style_3_ch"/>
                <w:rFonts w:ascii="Times New Roman" w:hAnsi="Times New Roman"/>
                <w:sz w:val="28"/>
              </w:rPr>
              <w:fldChar w:fldCharType="separate"/>
            </w:r>
            <w:r>
              <w:rPr>
                <w:rStyle w:val="Style_3_ch"/>
                <w:rFonts w:ascii="Times New Roman" w:hAnsi="Times New Roman"/>
                <w:sz w:val="28"/>
              </w:rPr>
              <w:t>https://www.rcoit.ru/obuch/</w:t>
            </w:r>
            <w:r>
              <w:rPr>
                <w:rStyle w:val="Style_3_ch"/>
                <w:rFonts w:ascii="Times New Roman" w:hAnsi="Times New Roman"/>
                <w:sz w:val="28"/>
              </w:rPr>
              <w:fldChar w:fldCharType="end"/>
            </w:r>
            <w:r>
              <w:rPr>
                <w:rFonts w:ascii="Times New Roman" w:hAnsi="Times New Roman"/>
                <w:b w:val="1"/>
                <w:sz w:val="28"/>
              </w:rPr>
              <w:t xml:space="preserve"> </w:t>
            </w:r>
          </w:p>
          <w:p w14:paraId="1A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Общий объем часов самостоятельного обучения: 15  часов</w:t>
            </w:r>
          </w:p>
          <w:p w14:paraId="1B000000">
            <w:pPr>
              <w:pStyle w:val="Style_2"/>
              <w:numPr>
                <w:ilvl w:val="0"/>
                <w:numId w:val="1"/>
              </w:num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>Итоговое тестирование – 1 час</w:t>
            </w:r>
          </w:p>
          <w:p w14:paraId="1C000000">
            <w:pPr>
              <w:spacing w:after="0" w:line="240" w:lineRule="auto"/>
              <w:ind/>
              <w:rPr>
                <w:rFonts w:ascii="Times New Roman" w:hAnsi="Times New Roman"/>
                <w:b w:val="1"/>
                <w:sz w:val="28"/>
              </w:rPr>
            </w:pPr>
            <w:r>
              <w:rPr>
                <w:rFonts w:ascii="Times New Roman" w:hAnsi="Times New Roman"/>
                <w:b w:val="1"/>
                <w:sz w:val="28"/>
              </w:rPr>
              <w:t xml:space="preserve">    </w:t>
            </w:r>
          </w:p>
        </w:tc>
      </w:tr>
    </w:tbl>
    <w:p w14:paraId="1D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E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p w14:paraId="1F000000">
      <w:pPr>
        <w:spacing w:after="0" w:line="240" w:lineRule="auto"/>
        <w:ind/>
        <w:rPr>
          <w:rFonts w:ascii="Times New Roman" w:hAnsi="Times New Roman"/>
          <w:b w:val="1"/>
          <w:sz w:val="28"/>
        </w:rPr>
      </w:pPr>
    </w:p>
    <w:p w14:paraId="20000000">
      <w:pPr>
        <w:spacing w:after="0" w:line="240" w:lineRule="auto"/>
        <w:ind w:right="-570"/>
        <w:jc w:val="center"/>
        <w:rPr>
          <w:rFonts w:ascii="Times New Roman" w:hAnsi="Times New Roman"/>
          <w:b w:val="1"/>
          <w:sz w:val="28"/>
        </w:rPr>
      </w:pPr>
    </w:p>
    <w:p w14:paraId="21000000">
      <w:pPr>
        <w:spacing w:after="0" w:line="240" w:lineRule="auto"/>
        <w:ind w:right="-57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>План обучения лиц, зачисленных в состав резерва участковых избирательных комиссий избирательных участков, участков референдума</w:t>
      </w:r>
      <w:r>
        <w:rPr>
          <w:rFonts w:ascii="Times New Roman" w:hAnsi="Times New Roman"/>
          <w:b w:val="1"/>
          <w:sz w:val="28"/>
        </w:rPr>
        <w:t>, закрепленных</w:t>
      </w:r>
      <w:r>
        <w:rPr>
          <w:rFonts w:ascii="Times New Roman" w:hAnsi="Times New Roman"/>
          <w:b w:val="1"/>
          <w:sz w:val="28"/>
        </w:rPr>
        <w:t xml:space="preserve"> </w:t>
      </w:r>
      <w:r>
        <w:rPr>
          <w:rFonts w:ascii="Times New Roman" w:hAnsi="Times New Roman"/>
          <w:b w:val="1"/>
          <w:sz w:val="28"/>
        </w:rPr>
        <w:t xml:space="preserve">за Территориальной  избирательной комиссией </w:t>
      </w:r>
      <w:r>
        <w:rPr>
          <w:rFonts w:ascii="Times New Roman" w:hAnsi="Times New Roman"/>
          <w:b w:val="1"/>
          <w:sz w:val="28"/>
        </w:rPr>
        <w:t>Таганрога (</w:t>
      </w:r>
      <w:r>
        <w:rPr>
          <w:rFonts w:ascii="Times New Roman" w:hAnsi="Times New Roman"/>
          <w:b w:val="1"/>
          <w:sz w:val="28"/>
        </w:rPr>
        <w:t>запад</w:t>
      </w:r>
      <w:r>
        <w:rPr>
          <w:rFonts w:ascii="Times New Roman" w:hAnsi="Times New Roman"/>
          <w:b w:val="1"/>
          <w:sz w:val="28"/>
        </w:rPr>
        <w:t>ная</w:t>
      </w:r>
      <w:r>
        <w:rPr>
          <w:rFonts w:ascii="Times New Roman" w:hAnsi="Times New Roman"/>
          <w:b w:val="1"/>
          <w:sz w:val="28"/>
        </w:rPr>
        <w:t>)</w:t>
      </w:r>
    </w:p>
    <w:p w14:paraId="22000000">
      <w:pPr>
        <w:spacing w:after="0" w:line="240" w:lineRule="auto"/>
        <w:ind w:right="-570"/>
        <w:jc w:val="center"/>
        <w:rPr>
          <w:rFonts w:ascii="Times New Roman" w:hAnsi="Times New Roman"/>
          <w:b w:val="1"/>
          <w:sz w:val="28"/>
        </w:rPr>
      </w:pPr>
      <w:r>
        <w:rPr>
          <w:rFonts w:ascii="Times New Roman" w:hAnsi="Times New Roman"/>
          <w:b w:val="1"/>
          <w:sz w:val="28"/>
        </w:rPr>
        <w:t xml:space="preserve">Ростовской области </w:t>
      </w:r>
      <w:r>
        <w:rPr>
          <w:rFonts w:ascii="Times New Roman" w:hAnsi="Times New Roman"/>
          <w:b w:val="1"/>
          <w:sz w:val="28"/>
        </w:rPr>
        <w:t>на 2025 год</w:t>
      </w:r>
    </w:p>
    <w:p w14:paraId="23000000">
      <w:pPr>
        <w:spacing w:after="0" w:line="240" w:lineRule="auto"/>
        <w:ind/>
        <w:jc w:val="center"/>
        <w:rPr>
          <w:rFonts w:ascii="Times New Roman" w:hAnsi="Times New Roman"/>
          <w:b w:val="1"/>
          <w:sz w:val="28"/>
        </w:rPr>
      </w:pPr>
    </w:p>
    <w:tbl>
      <w:tblPr>
        <w:tblStyle w:val="Style_1"/>
        <w:tblW w:type="auto" w:w="0"/>
        <w:tblInd w:type="dxa" w:w="392"/>
        <w:tblBorders>
          <w:top w:color="000000" w:sz="4" w:val="single"/>
          <w:left w:color="000000" w:sz="4" w:val="single"/>
          <w:bottom w:color="000000" w:sz="4" w:val="single"/>
          <w:right w:color="000000" w:sz="4" w:val="single"/>
          <w:insideH w:color="000000" w:sz="4" w:val="single"/>
          <w:insideV w:color="000000" w:sz="4" w:val="single"/>
        </w:tblBorders>
        <w:tblLayout w:type="fixed"/>
      </w:tblPr>
      <w:tblGrid>
        <w:gridCol w:w="567"/>
        <w:gridCol w:w="4961"/>
        <w:gridCol w:w="851"/>
        <w:gridCol w:w="1134"/>
        <w:gridCol w:w="1559"/>
        <w:gridCol w:w="1843"/>
        <w:gridCol w:w="1984"/>
        <w:gridCol w:w="2835"/>
      </w:tblGrid>
      <w:tr>
        <w:trPr>
          <w:trHeight w:hRule="atLeast" w:val="256"/>
        </w:trPr>
        <w:tc>
          <w:tcPr>
            <w:tcW w:type="dxa" w:w="567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18"/>
              </w:rPr>
            </w:pPr>
            <w:r>
              <w:rPr>
                <w:rFonts w:ascii="Times New Roman" w:hAnsi="Times New Roman"/>
                <w:sz w:val="18"/>
              </w:rPr>
              <w:t xml:space="preserve">№ </w:t>
            </w:r>
            <w:r>
              <w:rPr>
                <w:rFonts w:ascii="Times New Roman" w:hAnsi="Times New Roman"/>
                <w:sz w:val="18"/>
              </w:rPr>
              <w:t>пп</w:t>
            </w:r>
          </w:p>
        </w:tc>
        <w:tc>
          <w:tcPr>
            <w:tcW w:type="dxa" w:w="496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Наименование тем</w:t>
            </w:r>
          </w:p>
        </w:tc>
        <w:tc>
          <w:tcPr>
            <w:tcW w:type="dxa" w:w="851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Кол</w:t>
            </w:r>
            <w:r>
              <w:rPr>
                <w:rFonts w:ascii="Times New Roman" w:hAnsi="Times New Roman"/>
                <w:sz w:val="24"/>
              </w:rPr>
              <w:t>-</w:t>
            </w:r>
            <w:r>
              <w:rPr>
                <w:rFonts w:ascii="Times New Roman" w:hAnsi="Times New Roman"/>
                <w:sz w:val="24"/>
              </w:rPr>
              <w:t>во часов</w:t>
            </w:r>
          </w:p>
        </w:tc>
        <w:tc>
          <w:tcPr>
            <w:tcW w:type="dxa" w:w="4536"/>
            <w:gridSpan w:val="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Виды занятий</w:t>
            </w:r>
          </w:p>
        </w:tc>
        <w:tc>
          <w:tcPr>
            <w:tcW w:type="dxa" w:w="1984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2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Дата проведения</w:t>
            </w:r>
          </w:p>
        </w:tc>
        <w:tc>
          <w:tcPr>
            <w:tcW w:type="dxa" w:w="2835"/>
            <w:vMerge w:val="restart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  <w:p w14:paraId="2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Примечание</w:t>
            </w:r>
          </w:p>
        </w:tc>
      </w:tr>
      <w:tr>
        <w:trPr>
          <w:trHeight w:hRule="atLeast" w:val="601"/>
        </w:trPr>
        <w:tc>
          <w:tcPr>
            <w:tcW w:type="dxa" w:w="567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496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851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Лекции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Практические занятия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Дистанционно</w:t>
            </w:r>
          </w:p>
        </w:tc>
        <w:tc>
          <w:tcPr>
            <w:tcW w:type="dxa" w:w="1984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/>
        </w:tc>
        <w:tc>
          <w:tcPr>
            <w:tcW w:type="dxa" w:w="2835"/>
            <w:gridSpan w:val="1"/>
            <w:vMerge w:val="continue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/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E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-1-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2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-2-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-3-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-4-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-5-</w:t>
            </w: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-6-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-7-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-8-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7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Законодательство Российской Федерации </w:t>
            </w:r>
            <w:r>
              <w:rPr>
                <w:rFonts w:ascii="Times New Roman" w:hAnsi="Times New Roman"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о выборах и референдумах.</w:t>
            </w:r>
          </w:p>
          <w:p w14:paraId="38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Принципы проведения выборов в Российской Федерации.</w:t>
            </w:r>
          </w:p>
          <w:p w14:paraId="39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Основные стадии избирательного процесса (общий алгоритм).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3C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3E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3F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0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41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2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3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Система и статус избирательных комиссий </w:t>
            </w:r>
            <w:r>
              <w:rPr>
                <w:rFonts w:ascii="Times New Roman" w:hAnsi="Times New Roman"/>
              </w:rPr>
              <w:br/>
            </w:r>
            <w:r>
              <w:rPr>
                <w:rFonts w:ascii="Times New Roman" w:hAnsi="Times New Roman"/>
              </w:rPr>
              <w:t>в  Российской Федерации.</w:t>
            </w:r>
          </w:p>
          <w:p w14:paraId="44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Порядок формирования участковой избирательной комиссии. Резерв составов участковых комиссий. Назначение нового члена участковой избирательной комиссии из резерва составов участковых комиссий.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7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4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9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4A000000">
            <w:pPr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B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4C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3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4E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Полномочия участковой избирательной комиссии.</w:t>
            </w:r>
          </w:p>
          <w:p w14:paraId="4F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Организационные основы деятельности участковой избирательной комиссии.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0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1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2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4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55000000">
            <w:pPr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6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57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  <w:p w14:paraId="58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4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A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Формы голосования.</w:t>
            </w:r>
          </w:p>
          <w:p w14:paraId="5B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color w:val="000000"/>
              </w:rPr>
              <w:t>Особенности организации и проведения голосования в течение нескольких дней подряд.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5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E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5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0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61000000">
            <w:pPr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2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63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5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5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Основные этапы работы участковой избирательной комиссии в ходе подготовки </w:t>
            </w:r>
            <w:r>
              <w:rPr>
                <w:rFonts w:ascii="Times New Roman" w:hAnsi="Times New Roman"/>
                <w:color w:val="000000"/>
              </w:rPr>
              <w:br/>
            </w:r>
            <w:r>
              <w:rPr>
                <w:rFonts w:ascii="Times New Roman" w:hAnsi="Times New Roman"/>
                <w:color w:val="000000"/>
              </w:rPr>
              <w:t>и проведения выборов.</w:t>
            </w:r>
          </w:p>
          <w:p w14:paraId="66000000">
            <w:pPr>
              <w:spacing w:after="0" w:line="240" w:lineRule="auto"/>
              <w:ind/>
              <w:jc w:val="both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Открытость и гласность в деятельности участковой избирательной комиссии.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9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6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B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6C000000">
            <w:pPr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D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6E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51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6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6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0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Порядок рассмотрения участковой избирательной комиссией жалоб и обращений.</w:t>
            </w:r>
          </w:p>
          <w:p w14:paraId="71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Ответственность за нарушение законодательства Российской Федерации о выборах.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2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3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4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6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77000000">
            <w:pPr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8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79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7</w:t>
            </w: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B000000">
            <w:pPr>
              <w:spacing w:after="0" w:line="240" w:lineRule="auto"/>
              <w:ind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Организация и порядок </w:t>
            </w:r>
            <w:r>
              <w:rPr>
                <w:rFonts w:ascii="Times New Roman" w:hAnsi="Times New Roman"/>
              </w:rPr>
              <w:t>проведения выборов Президента Российской Федерации, выборов муниципального уровня.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C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7D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1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E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7F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sz w:val="24"/>
              </w:rPr>
            </w:pP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0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февраль - март;</w:t>
            </w:r>
          </w:p>
          <w:p w14:paraId="81000000">
            <w:pPr>
              <w:ind/>
              <w:jc w:val="center"/>
            </w:pPr>
            <w:r>
              <w:rPr>
                <w:rFonts w:ascii="Times New Roman" w:hAnsi="Times New Roman"/>
              </w:rPr>
              <w:t>июнь - июль</w:t>
            </w: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2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Председатель ТИК</w:t>
            </w:r>
          </w:p>
          <w:p w14:paraId="83000000">
            <w:pPr>
              <w:spacing w:after="0" w:line="240" w:lineRule="auto"/>
              <w:ind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Ищенко А.М.</w:t>
            </w:r>
          </w:p>
        </w:tc>
      </w:tr>
      <w:tr>
        <w:trPr>
          <w:trHeight w:hRule="atLeast" w:val="280"/>
        </w:trPr>
        <w:tc>
          <w:tcPr>
            <w:tcW w:type="dxa" w:w="567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4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496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5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ИТОГО:</w:t>
            </w:r>
          </w:p>
        </w:tc>
        <w:tc>
          <w:tcPr>
            <w:tcW w:type="dxa" w:w="851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6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7</w:t>
            </w:r>
          </w:p>
        </w:tc>
        <w:tc>
          <w:tcPr>
            <w:tcW w:type="dxa" w:w="113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  <w:vAlign w:val="center"/>
          </w:tcPr>
          <w:p w14:paraId="87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6</w:t>
            </w:r>
          </w:p>
        </w:tc>
        <w:tc>
          <w:tcPr>
            <w:tcW w:type="dxa" w:w="1559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8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1843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9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  <w:r>
              <w:rPr>
                <w:rFonts w:ascii="Times New Roman" w:hAnsi="Times New Roman"/>
                <w:b w:val="1"/>
                <w:sz w:val="24"/>
              </w:rPr>
              <w:t>1</w:t>
            </w:r>
          </w:p>
        </w:tc>
        <w:tc>
          <w:tcPr>
            <w:tcW w:type="dxa" w:w="1984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A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  <w:tc>
          <w:tcPr>
            <w:tcW w:type="dxa" w:w="2835"/>
            <w:tcBorders>
              <w:top w:color="000000" w:sz="4" w:val="single"/>
              <w:left w:color="000000" w:sz="4" w:val="single"/>
              <w:bottom w:color="000000" w:sz="4" w:val="single"/>
              <w:right w:color="000000" w:sz="4" w:val="single"/>
            </w:tcBorders>
          </w:tcPr>
          <w:p w14:paraId="8B000000">
            <w:pPr>
              <w:spacing w:after="0" w:line="240" w:lineRule="auto"/>
              <w:ind/>
              <w:jc w:val="center"/>
              <w:rPr>
                <w:rFonts w:ascii="Times New Roman" w:hAnsi="Times New Roman"/>
                <w:b w:val="1"/>
                <w:sz w:val="24"/>
              </w:rPr>
            </w:pPr>
          </w:p>
        </w:tc>
      </w:tr>
    </w:tbl>
    <w:p w14:paraId="8C000000">
      <w:pPr>
        <w:spacing w:after="0" w:line="240" w:lineRule="auto"/>
        <w:ind/>
      </w:pPr>
    </w:p>
    <w:sectPr>
      <w:pgSz w:h="11906" w:orient="landscape" w:w="16838"/>
      <w:pgMar w:bottom="539" w:footer="709" w:gutter="0" w:header="709" w:left="539" w:right="1134" w:top="851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ind w:hanging="360" w:left="720"/>
      </w:pPr>
    </w:lvl>
    <w:lvl w:ilvl="1">
      <w:start w:val="1"/>
      <w:numFmt w:val="lowerLetter"/>
      <w:lvlText w:val="%2."/>
      <w:lvlJc w:val="left"/>
      <w:pPr>
        <w:ind w:hanging="360" w:left="1440"/>
      </w:pPr>
    </w:lvl>
    <w:lvl w:ilvl="2">
      <w:start w:val="1"/>
      <w:numFmt w:val="lowerRoman"/>
      <w:lvlText w:val="%3."/>
      <w:lvlJc w:val="right"/>
      <w:pPr>
        <w:ind w:hanging="180" w:left="2160"/>
      </w:pPr>
    </w:lvl>
    <w:lvl w:ilvl="3">
      <w:start w:val="1"/>
      <w:numFmt w:val="decimal"/>
      <w:lvlText w:val="%4."/>
      <w:lvlJc w:val="left"/>
      <w:pPr>
        <w:ind w:hanging="360" w:left="2880"/>
      </w:pPr>
    </w:lvl>
    <w:lvl w:ilvl="4">
      <w:start w:val="1"/>
      <w:numFmt w:val="lowerLetter"/>
      <w:lvlText w:val="%5."/>
      <w:lvlJc w:val="left"/>
      <w:pPr>
        <w:ind w:hanging="360" w:left="3600"/>
      </w:pPr>
    </w:lvl>
    <w:lvl w:ilvl="5">
      <w:start w:val="1"/>
      <w:numFmt w:val="lowerRoman"/>
      <w:lvlText w:val="%6."/>
      <w:lvlJc w:val="right"/>
      <w:pPr>
        <w:ind w:hanging="180" w:left="4320"/>
      </w:pPr>
    </w:lvl>
    <w:lvl w:ilvl="6">
      <w:start w:val="1"/>
      <w:numFmt w:val="decimal"/>
      <w:lvlText w:val="%7."/>
      <w:lvlJc w:val="left"/>
      <w:pPr>
        <w:ind w:hanging="360" w:left="5040"/>
      </w:pPr>
    </w:lvl>
    <w:lvl w:ilvl="7">
      <w:start w:val="1"/>
      <w:numFmt w:val="lowerLetter"/>
      <w:lvlText w:val="%8."/>
      <w:lvlJc w:val="left"/>
      <w:pPr>
        <w:ind w:hanging="360" w:left="5760"/>
      </w:pPr>
    </w:lvl>
    <w:lvl w:ilvl="8">
      <w:start w:val="1"/>
      <w:numFmt w:val="lowerRoman"/>
      <w:lvlText w:val="%9."/>
      <w:lvlJc w:val="right"/>
      <w:pPr>
        <w:ind w:hanging="180" w:left="6480"/>
      </w:pPr>
    </w:lvl>
  </w:abstractNum>
  <w:num w:numId="1">
    <w:abstractNumId w:val="0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Theme="minorAscii" w:hAnsiTheme="minorHAnsi"/>
        <w:color w:val="000000"/>
        <w:spacing w:val="0"/>
        <w:sz w:val="22"/>
      </w:rPr>
    </w:rPrDefault>
    <w:pPrDefault>
      <w:pPr>
        <w:spacing w:after="200" w:before="0" w:line="276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</w:style>
  <w:style w:default="1" w:styleId="Style_4_ch" w:type="character">
    <w:name w:val="Normal"/>
    <w:link w:val="Style_4"/>
  </w:style>
  <w:style w:styleId="Style_5" w:type="paragraph">
    <w:name w:val="toc 2"/>
    <w:next w:val="Style_4"/>
    <w:link w:val="Style_5_ch"/>
    <w:uiPriority w:val="39"/>
    <w:pPr>
      <w:ind w:firstLine="0" w:left="200"/>
      <w:jc w:val="left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toc 4"/>
    <w:next w:val="Style_4"/>
    <w:link w:val="Style_6_ch"/>
    <w:uiPriority w:val="39"/>
    <w:pPr>
      <w:ind w:firstLine="0" w:left="600"/>
      <w:jc w:val="left"/>
    </w:pPr>
    <w:rPr>
      <w:rFonts w:ascii="XO Thames" w:hAnsi="XO Thames"/>
      <w:sz w:val="28"/>
    </w:rPr>
  </w:style>
  <w:style w:styleId="Style_6_ch" w:type="character">
    <w:name w:val="toc 4"/>
    <w:link w:val="Style_6"/>
    <w:rPr>
      <w:rFonts w:ascii="XO Thames" w:hAnsi="XO Thames"/>
      <w:sz w:val="28"/>
    </w:rPr>
  </w:style>
  <w:style w:styleId="Style_7" w:type="paragraph">
    <w:name w:val="toc 6"/>
    <w:next w:val="Style_4"/>
    <w:link w:val="Style_7_ch"/>
    <w:uiPriority w:val="39"/>
    <w:pPr>
      <w:ind w:firstLine="0" w:left="1000"/>
      <w:jc w:val="left"/>
    </w:pPr>
    <w:rPr>
      <w:rFonts w:ascii="XO Thames" w:hAnsi="XO Thames"/>
      <w:sz w:val="28"/>
    </w:rPr>
  </w:style>
  <w:style w:styleId="Style_7_ch" w:type="character">
    <w:name w:val="toc 6"/>
    <w:link w:val="Style_7"/>
    <w:rPr>
      <w:rFonts w:ascii="XO Thames" w:hAnsi="XO Thames"/>
      <w:sz w:val="28"/>
    </w:rPr>
  </w:style>
  <w:style w:styleId="Style_8" w:type="paragraph">
    <w:name w:val="toc 7"/>
    <w:next w:val="Style_4"/>
    <w:link w:val="Style_8_ch"/>
    <w:uiPriority w:val="39"/>
    <w:pPr>
      <w:ind w:firstLine="0" w:left="1200"/>
      <w:jc w:val="left"/>
    </w:pPr>
    <w:rPr>
      <w:rFonts w:ascii="XO Thames" w:hAnsi="XO Thames"/>
      <w:sz w:val="28"/>
    </w:rPr>
  </w:style>
  <w:style w:styleId="Style_8_ch" w:type="character">
    <w:name w:val="toc 7"/>
    <w:link w:val="Style_8"/>
    <w:rPr>
      <w:rFonts w:ascii="XO Thames" w:hAnsi="XO Thames"/>
      <w:sz w:val="28"/>
    </w:rPr>
  </w:style>
  <w:style w:styleId="Style_2" w:type="paragraph">
    <w:name w:val="List Paragraph"/>
    <w:basedOn w:val="Style_4"/>
    <w:link w:val="Style_2_ch"/>
    <w:pPr>
      <w:ind w:firstLine="0" w:left="720"/>
      <w:contextualSpacing w:val="1"/>
    </w:pPr>
  </w:style>
  <w:style w:styleId="Style_2_ch" w:type="character">
    <w:name w:val="List Paragraph"/>
    <w:basedOn w:val="Style_4_ch"/>
    <w:link w:val="Style_2"/>
  </w:style>
  <w:style w:styleId="Style_9" w:type="paragraph">
    <w:name w:val="Endnote"/>
    <w:link w:val="Style_9_ch"/>
    <w:pPr>
      <w:ind w:firstLine="851" w:left="0"/>
      <w:jc w:val="both"/>
    </w:pPr>
    <w:rPr>
      <w:rFonts w:ascii="XO Thames" w:hAnsi="XO Thames"/>
      <w:sz w:val="22"/>
    </w:rPr>
  </w:style>
  <w:style w:styleId="Style_9_ch" w:type="character">
    <w:name w:val="Endnote"/>
    <w:link w:val="Style_9"/>
    <w:rPr>
      <w:rFonts w:ascii="XO Thames" w:hAnsi="XO Thames"/>
      <w:sz w:val="22"/>
    </w:rPr>
  </w:style>
  <w:style w:styleId="Style_10" w:type="paragraph">
    <w:name w:val="heading 3"/>
    <w:next w:val="Style_4"/>
    <w:link w:val="Style_10_ch"/>
    <w:uiPriority w:val="9"/>
    <w:qFormat/>
    <w:pPr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0_ch" w:type="character">
    <w:name w:val="heading 3"/>
    <w:link w:val="Style_10"/>
    <w:rPr>
      <w:rFonts w:ascii="XO Thames" w:hAnsi="XO Thames"/>
      <w:b w:val="1"/>
      <w:sz w:val="26"/>
    </w:rPr>
  </w:style>
  <w:style w:styleId="Style_11" w:type="paragraph">
    <w:name w:val="Default Paragraph Font"/>
    <w:link w:val="Style_11_ch"/>
  </w:style>
  <w:style w:styleId="Style_11_ch" w:type="character">
    <w:name w:val="Default Paragraph Font"/>
    <w:link w:val="Style_11"/>
  </w:style>
  <w:style w:styleId="Style_12" w:type="paragraph">
    <w:name w:val="toc 3"/>
    <w:next w:val="Style_4"/>
    <w:link w:val="Style_12_ch"/>
    <w:uiPriority w:val="39"/>
    <w:pPr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heading 5"/>
    <w:next w:val="Style_4"/>
    <w:link w:val="Style_13_ch"/>
    <w:uiPriority w:val="9"/>
    <w:qFormat/>
    <w:pPr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3_ch" w:type="character">
    <w:name w:val="heading 5"/>
    <w:link w:val="Style_13"/>
    <w:rPr>
      <w:rFonts w:ascii="XO Thames" w:hAnsi="XO Thames"/>
      <w:b w:val="1"/>
      <w:sz w:val="22"/>
    </w:rPr>
  </w:style>
  <w:style w:styleId="Style_14" w:type="paragraph">
    <w:name w:val="heading 1"/>
    <w:next w:val="Style_4"/>
    <w:link w:val="Style_14_ch"/>
    <w:uiPriority w:val="9"/>
    <w:qFormat/>
    <w:pPr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4_ch" w:type="character">
    <w:name w:val="heading 1"/>
    <w:link w:val="Style_14"/>
    <w:rPr>
      <w:rFonts w:ascii="XO Thames" w:hAnsi="XO Thames"/>
      <w:b w:val="1"/>
      <w:sz w:val="32"/>
    </w:rPr>
  </w:style>
  <w:style w:styleId="Style_15" w:type="paragraph">
    <w:name w:val="No Spacing"/>
    <w:link w:val="Style_15_ch"/>
    <w:pPr>
      <w:spacing w:after="0" w:line="240" w:lineRule="auto"/>
      <w:ind/>
    </w:pPr>
  </w:style>
  <w:style w:styleId="Style_15_ch" w:type="character">
    <w:name w:val="No Spacing"/>
    <w:link w:val="Style_15"/>
  </w:style>
  <w:style w:styleId="Style_3" w:type="paragraph">
    <w:name w:val="Hyperlink"/>
    <w:basedOn w:val="Style_11"/>
    <w:link w:val="Style_3_ch"/>
    <w:rPr>
      <w:color w:themeColor="hyperlink" w:val="0000FF"/>
      <w:u w:val="single"/>
    </w:rPr>
  </w:style>
  <w:style w:styleId="Style_3_ch" w:type="character">
    <w:name w:val="Hyperlink"/>
    <w:basedOn w:val="Style_11_ch"/>
    <w:link w:val="Style_3"/>
    <w:rPr>
      <w:color w:themeColor="hyperlink" w:val="0000FF"/>
      <w:u w:val="single"/>
    </w:rPr>
  </w:style>
  <w:style w:styleId="Style_16" w:type="paragraph">
    <w:name w:val="Footnote"/>
    <w:link w:val="Style_16_ch"/>
    <w:pPr>
      <w:ind w:firstLine="851" w:left="0"/>
      <w:jc w:val="both"/>
    </w:pPr>
    <w:rPr>
      <w:rFonts w:ascii="XO Thames" w:hAnsi="XO Thames"/>
      <w:sz w:val="22"/>
    </w:rPr>
  </w:style>
  <w:style w:styleId="Style_16_ch" w:type="character">
    <w:name w:val="Footnote"/>
    <w:link w:val="Style_16"/>
    <w:rPr>
      <w:rFonts w:ascii="XO Thames" w:hAnsi="XO Thames"/>
      <w:sz w:val="22"/>
    </w:rPr>
  </w:style>
  <w:style w:styleId="Style_17" w:type="paragraph">
    <w:name w:val="toc 1"/>
    <w:next w:val="Style_4"/>
    <w:link w:val="Style_17_ch"/>
    <w:uiPriority w:val="39"/>
    <w:pPr>
      <w:ind w:firstLine="0" w:left="0"/>
      <w:jc w:val="left"/>
    </w:pPr>
    <w:rPr>
      <w:rFonts w:ascii="XO Thames" w:hAnsi="XO Thames"/>
      <w:b w:val="1"/>
      <w:sz w:val="28"/>
    </w:rPr>
  </w:style>
  <w:style w:styleId="Style_17_ch" w:type="character">
    <w:name w:val="toc 1"/>
    <w:link w:val="Style_17"/>
    <w:rPr>
      <w:rFonts w:ascii="XO Thames" w:hAnsi="XO Thames"/>
      <w:b w:val="1"/>
      <w:sz w:val="28"/>
    </w:rPr>
  </w:style>
  <w:style w:styleId="Style_18" w:type="paragraph">
    <w:name w:val="Header and Footer"/>
    <w:link w:val="Style_18_ch"/>
    <w:pPr>
      <w:spacing w:line="240" w:lineRule="auto"/>
      <w:ind/>
      <w:jc w:val="both"/>
    </w:pPr>
    <w:rPr>
      <w:rFonts w:ascii="XO Thames" w:hAnsi="XO Thames"/>
      <w:sz w:val="28"/>
    </w:rPr>
  </w:style>
  <w:style w:styleId="Style_18_ch" w:type="character">
    <w:name w:val="Header and Footer"/>
    <w:link w:val="Style_18"/>
    <w:rPr>
      <w:rFonts w:ascii="XO Thames" w:hAnsi="XO Thames"/>
      <w:sz w:val="28"/>
    </w:rPr>
  </w:style>
  <w:style w:styleId="Style_19" w:type="paragraph">
    <w:name w:val="toc 9"/>
    <w:next w:val="Style_4"/>
    <w:link w:val="Style_19_ch"/>
    <w:uiPriority w:val="39"/>
    <w:pPr>
      <w:ind w:firstLine="0" w:left="1600"/>
      <w:jc w:val="left"/>
    </w:pPr>
    <w:rPr>
      <w:rFonts w:ascii="XO Thames" w:hAnsi="XO Thames"/>
      <w:sz w:val="28"/>
    </w:rPr>
  </w:style>
  <w:style w:styleId="Style_19_ch" w:type="character">
    <w:name w:val="toc 9"/>
    <w:link w:val="Style_19"/>
    <w:rPr>
      <w:rFonts w:ascii="XO Thames" w:hAnsi="XO Thames"/>
      <w:sz w:val="28"/>
    </w:rPr>
  </w:style>
  <w:style w:styleId="Style_20" w:type="paragraph">
    <w:name w:val="Balloon Text"/>
    <w:basedOn w:val="Style_4"/>
    <w:link w:val="Style_20_ch"/>
    <w:pPr>
      <w:spacing w:after="0" w:line="240" w:lineRule="auto"/>
      <w:ind/>
    </w:pPr>
    <w:rPr>
      <w:rFonts w:ascii="Tahoma" w:hAnsi="Tahoma"/>
      <w:sz w:val="16"/>
    </w:rPr>
  </w:style>
  <w:style w:styleId="Style_20_ch" w:type="character">
    <w:name w:val="Balloon Text"/>
    <w:basedOn w:val="Style_4_ch"/>
    <w:link w:val="Style_20"/>
    <w:rPr>
      <w:rFonts w:ascii="Tahoma" w:hAnsi="Tahoma"/>
      <w:sz w:val="16"/>
    </w:rPr>
  </w:style>
  <w:style w:styleId="Style_21" w:type="paragraph">
    <w:name w:val="toc 8"/>
    <w:next w:val="Style_4"/>
    <w:link w:val="Style_21_ch"/>
    <w:uiPriority w:val="39"/>
    <w:pPr>
      <w:ind w:firstLine="0" w:left="1400"/>
      <w:jc w:val="left"/>
    </w:pPr>
    <w:rPr>
      <w:rFonts w:ascii="XO Thames" w:hAnsi="XO Thames"/>
      <w:sz w:val="28"/>
    </w:rPr>
  </w:style>
  <w:style w:styleId="Style_21_ch" w:type="character">
    <w:name w:val="toc 8"/>
    <w:link w:val="Style_21"/>
    <w:rPr>
      <w:rFonts w:ascii="XO Thames" w:hAnsi="XO Thames"/>
      <w:sz w:val="28"/>
    </w:rPr>
  </w:style>
  <w:style w:styleId="Style_22" w:type="paragraph">
    <w:name w:val="toc 5"/>
    <w:next w:val="Style_4"/>
    <w:link w:val="Style_22_ch"/>
    <w:uiPriority w:val="39"/>
    <w:pPr>
      <w:ind w:firstLine="0" w:left="800"/>
      <w:jc w:val="left"/>
    </w:pPr>
    <w:rPr>
      <w:rFonts w:ascii="XO Thames" w:hAnsi="XO Thames"/>
      <w:sz w:val="28"/>
    </w:rPr>
  </w:style>
  <w:style w:styleId="Style_22_ch" w:type="character">
    <w:name w:val="toc 5"/>
    <w:link w:val="Style_22"/>
    <w:rPr>
      <w:rFonts w:ascii="XO Thames" w:hAnsi="XO Thames"/>
      <w:sz w:val="28"/>
    </w:rPr>
  </w:style>
  <w:style w:styleId="Style_23" w:type="paragraph">
    <w:name w:val="Subtitle"/>
    <w:next w:val="Style_4"/>
    <w:link w:val="Style_23_ch"/>
    <w:uiPriority w:val="11"/>
    <w:qFormat/>
    <w:pPr>
      <w:ind/>
      <w:jc w:val="both"/>
    </w:pPr>
    <w:rPr>
      <w:rFonts w:ascii="XO Thames" w:hAnsi="XO Thames"/>
      <w:i w:val="1"/>
      <w:sz w:val="24"/>
    </w:rPr>
  </w:style>
  <w:style w:styleId="Style_23_ch" w:type="character">
    <w:name w:val="Subtitle"/>
    <w:link w:val="Style_23"/>
    <w:rPr>
      <w:rFonts w:ascii="XO Thames" w:hAnsi="XO Thames"/>
      <w:i w:val="1"/>
      <w:sz w:val="24"/>
    </w:rPr>
  </w:style>
  <w:style w:styleId="Style_24" w:type="paragraph">
    <w:name w:val="Title"/>
    <w:next w:val="Style_4"/>
    <w:link w:val="Style_24_ch"/>
    <w:uiPriority w:val="10"/>
    <w:qFormat/>
    <w:pPr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24_ch" w:type="character">
    <w:name w:val="Title"/>
    <w:link w:val="Style_24"/>
    <w:rPr>
      <w:rFonts w:ascii="XO Thames" w:hAnsi="XO Thames"/>
      <w:b w:val="1"/>
      <w:caps w:val="1"/>
      <w:sz w:val="40"/>
    </w:rPr>
  </w:style>
  <w:style w:styleId="Style_25" w:type="paragraph">
    <w:name w:val="heading 4"/>
    <w:next w:val="Style_4"/>
    <w:link w:val="Style_25_ch"/>
    <w:uiPriority w:val="9"/>
    <w:qFormat/>
    <w:pPr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25_ch" w:type="character">
    <w:name w:val="heading 4"/>
    <w:link w:val="Style_25"/>
    <w:rPr>
      <w:rFonts w:ascii="XO Thames" w:hAnsi="XO Thames"/>
      <w:b w:val="1"/>
      <w:sz w:val="24"/>
    </w:rPr>
  </w:style>
  <w:style w:styleId="Style_26" w:type="paragraph">
    <w:name w:val="heading 2"/>
    <w:next w:val="Style_4"/>
    <w:link w:val="Style_26_ch"/>
    <w:uiPriority w:val="9"/>
    <w:qFormat/>
    <w:pPr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26_ch" w:type="character">
    <w:name w:val="heading 2"/>
    <w:link w:val="Style_26"/>
    <w:rPr>
      <w:rFonts w:ascii="XO Thames" w:hAnsi="XO Thames"/>
      <w:b w:val="1"/>
      <w:sz w:val="28"/>
    </w:rPr>
  </w:style>
  <w:style w:default="1" w:styleId="Style_1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MyOffice-CoreFramework-Windows/34-1238.862.9476.867.1@6a6f965769ddd834e814912714f1fa4bc0274a9d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modified xsi:type="dcterms:W3CDTF">2025-01-13T12:57:03Z</dcterms:modified>
</cp:coreProperties>
</file>