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0"/>
        <w:spacing w:after="0" w:line="240" w:lineRule="auto"/>
        <w:ind/>
        <w:rPr>
          <w:rFonts w:ascii="Times New Roman" w:hAnsi="Times New Roman"/>
          <w:b w:val="1"/>
          <w:sz w:val="28"/>
        </w:rPr>
      </w:pPr>
    </w:p>
    <w:p w14:paraId="02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3000000">
      <w:pPr>
        <w:widowControl w:val="0"/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Приложение </w:t>
      </w:r>
    </w:p>
    <w:p w14:paraId="04000000">
      <w:pPr>
        <w:widowControl w:val="0"/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к </w:t>
      </w:r>
      <w:r>
        <w:rPr>
          <w:rFonts w:ascii="Times New Roman" w:hAnsi="Times New Roman"/>
          <w:sz w:val="20"/>
        </w:rPr>
        <w:t>п</w:t>
      </w:r>
      <w:r>
        <w:rPr>
          <w:rFonts w:ascii="Times New Roman" w:hAnsi="Times New Roman"/>
          <w:sz w:val="20"/>
        </w:rPr>
        <w:t>остановлению Территориальной избирательной комиссии</w:t>
      </w:r>
    </w:p>
    <w:p w14:paraId="05000000">
      <w:pPr>
        <w:widowControl w:val="0"/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города</w:t>
      </w:r>
      <w:r>
        <w:rPr>
          <w:rFonts w:ascii="Times New Roman" w:hAnsi="Times New Roman"/>
          <w:sz w:val="20"/>
        </w:rPr>
        <w:t xml:space="preserve"> Таганрога (</w:t>
      </w:r>
      <w:r>
        <w:rPr>
          <w:rFonts w:ascii="Times New Roman" w:hAnsi="Times New Roman"/>
          <w:sz w:val="20"/>
        </w:rPr>
        <w:t>западная</w:t>
      </w:r>
      <w:r>
        <w:rPr>
          <w:rFonts w:ascii="Times New Roman" w:hAnsi="Times New Roman"/>
          <w:sz w:val="20"/>
        </w:rPr>
        <w:t xml:space="preserve">) </w:t>
      </w:r>
      <w:r>
        <w:rPr>
          <w:rFonts w:ascii="Times New Roman" w:hAnsi="Times New Roman"/>
          <w:sz w:val="20"/>
        </w:rPr>
        <w:t>Ростов</w:t>
      </w:r>
      <w:r>
        <w:rPr>
          <w:rFonts w:ascii="Times New Roman" w:hAnsi="Times New Roman"/>
          <w:sz w:val="20"/>
        </w:rPr>
        <w:t xml:space="preserve">ской области </w:t>
      </w:r>
    </w:p>
    <w:p w14:paraId="06000000">
      <w:pPr>
        <w:widowControl w:val="0"/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о</w:t>
      </w:r>
      <w:r>
        <w:rPr>
          <w:rFonts w:ascii="Times New Roman" w:hAnsi="Times New Roman"/>
          <w:sz w:val="20"/>
        </w:rPr>
        <w:t>т 23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декабря</w:t>
      </w:r>
      <w:r>
        <w:rPr>
          <w:rFonts w:ascii="Times New Roman" w:hAnsi="Times New Roman"/>
          <w:sz w:val="20"/>
        </w:rPr>
        <w:t xml:space="preserve"> 20</w:t>
      </w:r>
      <w:r>
        <w:rPr>
          <w:rFonts w:ascii="Times New Roman" w:hAnsi="Times New Roman"/>
          <w:sz w:val="20"/>
        </w:rPr>
        <w:t>25</w:t>
      </w:r>
      <w:r>
        <w:rPr>
          <w:rFonts w:ascii="Times New Roman" w:hAnsi="Times New Roman"/>
          <w:sz w:val="20"/>
        </w:rPr>
        <w:t xml:space="preserve"> г. № 148-2</w:t>
      </w:r>
    </w:p>
    <w:p w14:paraId="07000000">
      <w:pPr>
        <w:widowControl w:val="0"/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</w:p>
    <w:p w14:paraId="08000000">
      <w:pPr>
        <w:widowControl w:val="0"/>
        <w:tabs>
          <w:tab w:leader="none" w:pos="900" w:val="left"/>
          <w:tab w:leader="none" w:pos="1080" w:val="left"/>
        </w:tabs>
        <w:spacing w:after="0" w:line="240" w:lineRule="auto"/>
        <w:ind w:firstLine="708" w:left="0"/>
        <w:jc w:val="both"/>
        <w:rPr>
          <w:rFonts w:ascii="Times New Roman" w:hAnsi="Times New Roman"/>
          <w:sz w:val="28"/>
        </w:rPr>
      </w:pPr>
    </w:p>
    <w:p w14:paraId="09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План обучения лиц, зачисленных в резерв составов </w:t>
      </w:r>
    </w:p>
    <w:p w14:paraId="0A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уч</w:t>
      </w:r>
      <w:r>
        <w:rPr>
          <w:rFonts w:ascii="Times New Roman" w:hAnsi="Times New Roman"/>
          <w:b w:val="1"/>
          <w:sz w:val="28"/>
        </w:rPr>
        <w:t xml:space="preserve">астковых избирательных комиссий </w:t>
      </w:r>
      <w:r>
        <w:rPr>
          <w:rFonts w:ascii="Times New Roman" w:hAnsi="Times New Roman"/>
          <w:b w:val="1"/>
          <w:sz w:val="28"/>
        </w:rPr>
        <w:t xml:space="preserve">по программе </w:t>
      </w:r>
    </w:p>
    <w:p w14:paraId="0B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учебно-практического курса </w:t>
      </w:r>
    </w:p>
    <w:p w14:paraId="0C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«</w:t>
      </w:r>
      <w:r>
        <w:rPr>
          <w:rFonts w:ascii="Times New Roman" w:hAnsi="Times New Roman"/>
          <w:b w:val="1"/>
          <w:sz w:val="28"/>
        </w:rPr>
        <w:t>Подготовка резерва составов участковых комиссий</w:t>
      </w:r>
      <w:r>
        <w:rPr>
          <w:rFonts w:ascii="Times New Roman" w:hAnsi="Times New Roman"/>
          <w:b w:val="1"/>
          <w:sz w:val="28"/>
        </w:rPr>
        <w:t>»</w:t>
      </w:r>
    </w:p>
    <w:p w14:paraId="0D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E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F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0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Паспорт программы</w:t>
      </w:r>
    </w:p>
    <w:p w14:paraId="11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2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3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bookmarkStart w:id="1" w:name="_GoBack"/>
      <w:bookmarkEnd w:id="1"/>
    </w:p>
    <w:tbl>
      <w:tblPr>
        <w:tblStyle w:val="Style_1"/>
        <w:tblW w:type="auto" w:w="0"/>
        <w:jc w:val="center"/>
        <w:tblInd w:type="dxa" w:w="1368"/>
        <w:tblLayout w:type="fixed"/>
      </w:tblPr>
      <w:tblGrid>
        <w:gridCol w:w="7954"/>
      </w:tblGrid>
      <w:tr>
        <w:tc>
          <w:tcPr>
            <w:tcW w:type="dxa" w:w="7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pStyle w:val="Style_2"/>
              <w:widowControl w:val="0"/>
              <w:numPr>
                <w:ilvl w:val="0"/>
                <w:numId w:val="1"/>
              </w:numPr>
              <w:tabs>
                <w:tab w:leader="none" w:pos="360" w:val="left"/>
              </w:tabs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Цель обучения:</w:t>
            </w:r>
          </w:p>
          <w:p w14:paraId="15000000">
            <w:pPr>
              <w:widowControl w:val="0"/>
              <w:tabs>
                <w:tab w:leader="none" w:pos="1080" w:val="left"/>
              </w:tabs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</w:t>
            </w:r>
            <w:r>
              <w:rPr>
                <w:rFonts w:ascii="Times New Roman" w:hAnsi="Times New Roman"/>
                <w:sz w:val="28"/>
              </w:rPr>
              <w:t xml:space="preserve">Обучение </w:t>
            </w:r>
            <w:r>
              <w:rPr>
                <w:rFonts w:ascii="Times New Roman" w:hAnsi="Times New Roman"/>
                <w:sz w:val="28"/>
              </w:rPr>
              <w:t xml:space="preserve">лиц, зачисленных в </w:t>
            </w:r>
            <w:r>
              <w:rPr>
                <w:rFonts w:ascii="Times New Roman" w:hAnsi="Times New Roman"/>
                <w:sz w:val="28"/>
              </w:rPr>
              <w:t>резерв составов участковых избирательных комиссий</w:t>
            </w:r>
            <w:r>
              <w:rPr>
                <w:rFonts w:ascii="Times New Roman" w:hAnsi="Times New Roman"/>
                <w:sz w:val="28"/>
              </w:rPr>
              <w:t>,</w:t>
            </w:r>
            <w:r>
              <w:rPr>
                <w:rFonts w:ascii="Times New Roman" w:hAnsi="Times New Roman"/>
                <w:sz w:val="28"/>
              </w:rPr>
              <w:t xml:space="preserve"> по вопросам участия в организации и проведении выборов</w:t>
            </w:r>
          </w:p>
          <w:p w14:paraId="16000000">
            <w:pPr>
              <w:pStyle w:val="Style_2"/>
              <w:widowControl w:val="0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Категория слушателей:</w:t>
            </w:r>
          </w:p>
          <w:p w14:paraId="17000000">
            <w:pPr>
              <w:widowControl w:val="0"/>
              <w:spacing w:after="0" w:line="240" w:lineRule="auto"/>
              <w:ind w:firstLine="0" w:left="7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Лица, зачисленные в р</w:t>
            </w:r>
            <w:r>
              <w:rPr>
                <w:rFonts w:ascii="Times New Roman" w:hAnsi="Times New Roman"/>
                <w:sz w:val="28"/>
              </w:rPr>
              <w:t xml:space="preserve">езерв составов УИК </w:t>
            </w:r>
          </w:p>
          <w:p w14:paraId="18000000">
            <w:pPr>
              <w:pStyle w:val="Style_2"/>
              <w:widowControl w:val="0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Форма обучения – </w:t>
            </w:r>
            <w:r>
              <w:rPr>
                <w:rFonts w:ascii="Times New Roman" w:hAnsi="Times New Roman"/>
                <w:b w:val="1"/>
                <w:sz w:val="28"/>
              </w:rPr>
              <w:t>дистанционная</w:t>
            </w:r>
            <w:r>
              <w:rPr>
                <w:rFonts w:ascii="Times New Roman" w:hAnsi="Times New Roman"/>
                <w:b w:val="1"/>
                <w:sz w:val="28"/>
              </w:rPr>
              <w:t xml:space="preserve"> / очная</w:t>
            </w:r>
          </w:p>
          <w:p w14:paraId="19000000">
            <w:pPr>
              <w:pStyle w:val="Style_2"/>
              <w:widowControl w:val="0"/>
              <w:numPr>
                <w:ilvl w:val="0"/>
                <w:numId w:val="1"/>
              </w:numPr>
              <w:spacing w:after="0" w:line="240" w:lineRule="auto"/>
              <w:ind/>
            </w:pPr>
            <w:r>
              <w:rPr>
                <w:rFonts w:ascii="Times New Roman" w:hAnsi="Times New Roman"/>
                <w:b w:val="1"/>
                <w:sz w:val="28"/>
              </w:rPr>
              <w:t>Ресурс:</w:t>
            </w:r>
            <w:r>
              <w:rPr>
                <w:rFonts w:ascii="Times New Roman" w:hAnsi="Times New Roman"/>
                <w:b w:val="1"/>
                <w:sz w:val="28"/>
              </w:rPr>
              <w:t xml:space="preserve"> </w:t>
            </w:r>
            <w:r>
              <w:rPr>
                <w:rStyle w:val="Style_3_ch"/>
                <w:rFonts w:ascii="Times New Roman" w:hAnsi="Times New Roman"/>
                <w:sz w:val="28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sz w:val="28"/>
              </w:rPr>
              <w:instrText>HYPERLINK "https://www.rcoit.ru/obuch/"</w:instrText>
            </w:r>
            <w:r>
              <w:rPr>
                <w:rStyle w:val="Style_3_ch"/>
                <w:rFonts w:ascii="Times New Roman" w:hAnsi="Times New Roman"/>
                <w:sz w:val="28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sz w:val="28"/>
              </w:rPr>
              <w:t>https://www.rcoit.ru/obuch/</w:t>
            </w:r>
            <w:r>
              <w:rPr>
                <w:rStyle w:val="Style_3_ch"/>
                <w:rFonts w:ascii="Times New Roman" w:hAnsi="Times New Roman"/>
                <w:sz w:val="28"/>
              </w:rPr>
              <w:fldChar w:fldCharType="end"/>
            </w:r>
            <w:r>
              <w:rPr>
                <w:rFonts w:ascii="Times New Roman" w:hAnsi="Times New Roman"/>
                <w:b w:val="1"/>
                <w:sz w:val="28"/>
              </w:rPr>
              <w:t xml:space="preserve"> </w:t>
            </w:r>
          </w:p>
          <w:p w14:paraId="1A000000">
            <w:pPr>
              <w:pStyle w:val="Style_2"/>
              <w:widowControl w:val="0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Общий объем часов самостоятельного обучения: 15  часов</w:t>
            </w:r>
          </w:p>
          <w:p w14:paraId="1B000000">
            <w:pPr>
              <w:pStyle w:val="Style_2"/>
              <w:widowControl w:val="0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Итоговое тестирование – 1 час</w:t>
            </w:r>
          </w:p>
          <w:p w14:paraId="1C00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    </w:t>
            </w:r>
          </w:p>
        </w:tc>
      </w:tr>
    </w:tbl>
    <w:p w14:paraId="1D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E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F000000">
      <w:pPr>
        <w:widowControl w:val="0"/>
        <w:spacing w:after="0" w:line="240" w:lineRule="auto"/>
        <w:ind/>
        <w:rPr>
          <w:rFonts w:ascii="Times New Roman" w:hAnsi="Times New Roman"/>
          <w:b w:val="1"/>
          <w:sz w:val="28"/>
        </w:rPr>
      </w:pPr>
    </w:p>
    <w:p w14:paraId="20000000">
      <w:pPr>
        <w:widowControl w:val="0"/>
        <w:spacing w:after="0" w:line="240" w:lineRule="auto"/>
        <w:ind w:right="-570"/>
        <w:jc w:val="center"/>
        <w:rPr>
          <w:rFonts w:ascii="Times New Roman" w:hAnsi="Times New Roman"/>
          <w:b w:val="1"/>
          <w:sz w:val="28"/>
        </w:rPr>
      </w:pPr>
    </w:p>
    <w:p w14:paraId="21000000">
      <w:pPr>
        <w:widowControl w:val="0"/>
        <w:spacing w:after="0" w:line="240" w:lineRule="auto"/>
        <w:ind w:right="-57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План обучения лиц, зачисленных в состав резерва участковых избирательных комиссий избирательных участков, участков референдума</w:t>
      </w:r>
      <w:r>
        <w:rPr>
          <w:rFonts w:ascii="Times New Roman" w:hAnsi="Times New Roman"/>
          <w:b w:val="1"/>
          <w:sz w:val="28"/>
        </w:rPr>
        <w:t>, закрепленных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за Территориальной  избирательной комиссией </w:t>
      </w:r>
      <w:r>
        <w:rPr>
          <w:rFonts w:ascii="Times New Roman" w:hAnsi="Times New Roman"/>
          <w:b w:val="1"/>
          <w:sz w:val="28"/>
        </w:rPr>
        <w:t>Таганрога (</w:t>
      </w:r>
      <w:r>
        <w:rPr>
          <w:rFonts w:ascii="Times New Roman" w:hAnsi="Times New Roman"/>
          <w:b w:val="1"/>
          <w:sz w:val="28"/>
        </w:rPr>
        <w:t>запад</w:t>
      </w:r>
      <w:r>
        <w:rPr>
          <w:rFonts w:ascii="Times New Roman" w:hAnsi="Times New Roman"/>
          <w:b w:val="1"/>
          <w:sz w:val="28"/>
        </w:rPr>
        <w:t>ная</w:t>
      </w:r>
      <w:r>
        <w:rPr>
          <w:rFonts w:ascii="Times New Roman" w:hAnsi="Times New Roman"/>
          <w:b w:val="1"/>
          <w:sz w:val="28"/>
        </w:rPr>
        <w:t>)</w:t>
      </w:r>
    </w:p>
    <w:p w14:paraId="22000000">
      <w:pPr>
        <w:widowControl w:val="0"/>
        <w:spacing w:after="0" w:line="240" w:lineRule="auto"/>
        <w:ind w:right="-57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Ростовской области </w:t>
      </w:r>
      <w:r>
        <w:rPr>
          <w:rFonts w:ascii="Times New Roman" w:hAnsi="Times New Roman"/>
          <w:b w:val="1"/>
          <w:sz w:val="28"/>
        </w:rPr>
        <w:t>на 2026 год</w:t>
      </w:r>
    </w:p>
    <w:p w14:paraId="23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tbl>
      <w:tblPr>
        <w:tblStyle w:val="Style_1"/>
        <w:tblW w:type="auto" w:w="0"/>
        <w:tblInd w:type="dxa" w:w="39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67"/>
        <w:gridCol w:w="4961"/>
        <w:gridCol w:w="851"/>
        <w:gridCol w:w="1134"/>
        <w:gridCol w:w="1559"/>
        <w:gridCol w:w="1843"/>
        <w:gridCol w:w="1984"/>
        <w:gridCol w:w="2835"/>
      </w:tblGrid>
      <w:tr>
        <w:trPr>
          <w:trHeight w:hRule="atLeast" w:val="256"/>
        </w:trPr>
        <w:tc>
          <w:tcPr>
            <w:tcW w:type="dxa" w:w="56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№ </w:t>
            </w:r>
            <w:r>
              <w:rPr>
                <w:rFonts w:ascii="Times New Roman" w:hAnsi="Times New Roman"/>
                <w:sz w:val="18"/>
              </w:rPr>
              <w:t>пп</w:t>
            </w:r>
          </w:p>
        </w:tc>
        <w:tc>
          <w:tcPr>
            <w:tcW w:type="dxa" w:w="496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тем</w:t>
            </w:r>
          </w:p>
        </w:tc>
        <w:tc>
          <w:tcPr>
            <w:tcW w:type="dxa" w:w="85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во часов</w:t>
            </w:r>
          </w:p>
        </w:tc>
        <w:tc>
          <w:tcPr>
            <w:tcW w:type="dxa" w:w="453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Виды занятий</w:t>
            </w:r>
          </w:p>
        </w:tc>
        <w:tc>
          <w:tcPr>
            <w:tcW w:type="dxa" w:w="198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  <w:tc>
          <w:tcPr>
            <w:tcW w:type="dxa" w:w="283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2A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Примечание</w:t>
            </w:r>
          </w:p>
        </w:tc>
      </w:tr>
      <w:tr>
        <w:trPr>
          <w:trHeight w:hRule="atLeast" w:val="601"/>
        </w:trPr>
        <w:tc>
          <w:tcPr>
            <w:tcW w:type="dxa" w:w="56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496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85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Лекции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Дистанционно</w:t>
            </w:r>
          </w:p>
        </w:tc>
        <w:tc>
          <w:tcPr>
            <w:tcW w:type="dxa" w:w="198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283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-1-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-2-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-3-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-4-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-5-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-6-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-7-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-8-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Законодательство Российской Федерации </w:t>
            </w:r>
            <w:r>
              <w:rPr>
                <w:rFonts w:ascii="Times New Roman" w:hAnsi="Times New Roman"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о выборах и референдумах.</w:t>
            </w:r>
          </w:p>
          <w:p w14:paraId="38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Принципы проведения выборов в Российской Федерации.</w:t>
            </w:r>
          </w:p>
          <w:p w14:paraId="39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Основные стадии избирательного процесса (общий алгоритм).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3F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41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Система и статус избирательных комиссий 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</w:rPr>
              <w:t>в  Российской Федерации.</w:t>
            </w:r>
          </w:p>
          <w:p w14:paraId="44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Порядок формирования участковой избирательной комиссии. Резерв составов участковых комиссий. Назначение нового члена участковой избирательной комиссии из резерва составов участковых комиссий.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4A000000">
            <w:pPr>
              <w:widowControl w:val="0"/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4C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Полномочия участковой избирательной комиссии.</w:t>
            </w:r>
          </w:p>
          <w:p w14:paraId="4F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Организационные основы деятельности участковой избирательной комиссии.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55000000">
            <w:pPr>
              <w:widowControl w:val="0"/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57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  <w:p w14:paraId="58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Формы голосования.</w:t>
            </w:r>
          </w:p>
          <w:p w14:paraId="5B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Особенности организации и проведения голосования в течение нескольких дней подряд.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61000000">
            <w:pPr>
              <w:widowControl w:val="0"/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63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Основные этапы работы участковой избирательной комиссии в ходе подготовки </w:t>
            </w:r>
            <w:r>
              <w:rPr>
                <w:rFonts w:ascii="Times New Roman" w:hAnsi="Times New Roman"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и проведения выборов.</w:t>
            </w:r>
          </w:p>
          <w:p w14:paraId="66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Открытость и гласность в деятельности участковой избирательной комиссии.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6C000000">
            <w:pPr>
              <w:widowControl w:val="0"/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6E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51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Порядок рассмотрения участковой избирательной комиссией жалоб и обращений.</w:t>
            </w:r>
          </w:p>
          <w:p w14:paraId="71000000">
            <w:pPr>
              <w:widowControl w:val="0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Ответственность за нарушение законодательства Российской Федерации о выборах.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77000000">
            <w:pPr>
              <w:widowControl w:val="0"/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79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ИТОГО: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6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5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widowControl w:val="0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</w:tr>
    </w:tbl>
    <w:p w14:paraId="82000000">
      <w:pPr>
        <w:widowControl w:val="0"/>
        <w:spacing w:after="0" w:line="240" w:lineRule="auto"/>
        <w:ind/>
      </w:pPr>
    </w:p>
    <w:sectPr>
      <w:pgSz w:h="11906" w:orient="landscape" w:w="16838"/>
      <w:pgMar w:bottom="539" w:footer="709" w:gutter="0" w:header="709" w:left="539" w:right="1134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widowControl w:val="0"/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widowControl w:val="0"/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widowControl w:val="0"/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widowControl w:val="0"/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Endnote"/>
    <w:link w:val="Style_9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4"/>
    <w:link w:val="Style_10_ch"/>
    <w:uiPriority w:val="9"/>
    <w:qFormat/>
    <w:pPr>
      <w:widowControl w:val="0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No Spacing"/>
    <w:link w:val="Style_11_ch"/>
    <w:pPr>
      <w:widowControl w:val="0"/>
      <w:spacing w:after="0" w:line="240" w:lineRule="auto"/>
      <w:ind/>
    </w:pPr>
  </w:style>
  <w:style w:styleId="Style_11_ch" w:type="character">
    <w:name w:val="No Spacing"/>
    <w:link w:val="Style_11"/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toc 3"/>
    <w:next w:val="Style_4"/>
    <w:link w:val="Style_13_ch"/>
    <w:uiPriority w:val="39"/>
    <w:pPr>
      <w:widowControl w:val="0"/>
      <w:ind w:firstLine="0" w:left="400"/>
      <w:jc w:val="left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14" w:type="paragraph">
    <w:name w:val="heading 5"/>
    <w:next w:val="Style_4"/>
    <w:link w:val="Style_14_ch"/>
    <w:uiPriority w:val="9"/>
    <w:qFormat/>
    <w:pPr>
      <w:widowControl w:val="0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4"/>
    <w:link w:val="Style_15_ch"/>
    <w:uiPriority w:val="9"/>
    <w:qFormat/>
    <w:pPr>
      <w:widowControl w:val="0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3" w:type="paragraph">
    <w:name w:val="Hyperlink"/>
    <w:basedOn w:val="Style_12"/>
    <w:link w:val="Style_3_ch"/>
    <w:rPr>
      <w:color w:themeColor="hyperlink" w:val="0000FF"/>
      <w:u w:val="single"/>
    </w:rPr>
  </w:style>
  <w:style w:styleId="Style_3_ch" w:type="character">
    <w:name w:val="Hyperlink"/>
    <w:basedOn w:val="Style_12_ch"/>
    <w:link w:val="Style_3"/>
    <w:rPr>
      <w:color w:themeColor="hyperlink" w:val="0000FF"/>
      <w:u w:val="single"/>
    </w:rPr>
  </w:style>
  <w:style w:styleId="Style_16" w:type="paragraph">
    <w:name w:val="Footnote"/>
    <w:link w:val="Style_16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4"/>
    <w:link w:val="Style_17_ch"/>
    <w:uiPriority w:val="39"/>
    <w:pPr>
      <w:widowControl w:val="0"/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widowControl w:val="0"/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9" w:type="paragraph">
    <w:name w:val="toc 9"/>
    <w:next w:val="Style_4"/>
    <w:link w:val="Style_19_ch"/>
    <w:uiPriority w:val="39"/>
    <w:pPr>
      <w:widowControl w:val="0"/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4"/>
    <w:link w:val="Style_20_ch"/>
    <w:uiPriority w:val="39"/>
    <w:pPr>
      <w:widowControl w:val="0"/>
      <w:ind w:firstLine="0" w:left="1400"/>
      <w:jc w:val="left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toc 5"/>
    <w:next w:val="Style_4"/>
    <w:link w:val="Style_21_ch"/>
    <w:uiPriority w:val="39"/>
    <w:pPr>
      <w:widowControl w:val="0"/>
      <w:ind w:firstLine="0" w:left="800"/>
      <w:jc w:val="left"/>
    </w:pPr>
    <w:rPr>
      <w:rFonts w:ascii="XO Thames" w:hAnsi="XO Thames"/>
      <w:sz w:val="28"/>
    </w:rPr>
  </w:style>
  <w:style w:styleId="Style_21_ch" w:type="character">
    <w:name w:val="toc 5"/>
    <w:link w:val="Style_21"/>
    <w:rPr>
      <w:rFonts w:ascii="XO Thames" w:hAnsi="XO Thames"/>
      <w:sz w:val="28"/>
    </w:rPr>
  </w:style>
  <w:style w:styleId="Style_2" w:type="paragraph">
    <w:name w:val="List Paragraph"/>
    <w:basedOn w:val="Style_4"/>
    <w:link w:val="Style_2_ch"/>
    <w:pPr>
      <w:widowControl w:val="0"/>
      <w:ind w:firstLine="0" w:left="720"/>
      <w:contextualSpacing w:val="1"/>
    </w:pPr>
  </w:style>
  <w:style w:styleId="Style_2_ch" w:type="character">
    <w:name w:val="List Paragraph"/>
    <w:basedOn w:val="Style_4_ch"/>
    <w:link w:val="Style_2"/>
  </w:style>
  <w:style w:styleId="Style_22" w:type="paragraph">
    <w:name w:val="Subtitle"/>
    <w:next w:val="Style_4"/>
    <w:link w:val="Style_22_ch"/>
    <w:uiPriority w:val="11"/>
    <w:qFormat/>
    <w:pPr>
      <w:widowControl w:val="0"/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itle"/>
    <w:next w:val="Style_4"/>
    <w:link w:val="Style_23_ch"/>
    <w:uiPriority w:val="10"/>
    <w:qFormat/>
    <w:pPr>
      <w:widowControl w:val="0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widowControl w:val="0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Balloon Text"/>
    <w:basedOn w:val="Style_4"/>
    <w:link w:val="Style_25_ch"/>
    <w:pPr>
      <w:widowControl w:val="0"/>
      <w:spacing w:after="0" w:line="240" w:lineRule="auto"/>
      <w:ind/>
    </w:pPr>
    <w:rPr>
      <w:rFonts w:ascii="Tahoma" w:hAnsi="Tahoma"/>
      <w:sz w:val="16"/>
    </w:rPr>
  </w:style>
  <w:style w:styleId="Style_25_ch" w:type="character">
    <w:name w:val="Balloon Text"/>
    <w:basedOn w:val="Style_4_ch"/>
    <w:link w:val="Style_25"/>
    <w:rPr>
      <w:rFonts w:ascii="Tahoma" w:hAnsi="Tahoma"/>
      <w:sz w:val="16"/>
    </w:rPr>
  </w:style>
  <w:style w:styleId="Style_26" w:type="paragraph">
    <w:name w:val="heading 2"/>
    <w:next w:val="Style_4"/>
    <w:link w:val="Style_26_ch"/>
    <w:uiPriority w:val="9"/>
    <w:qFormat/>
    <w:pPr>
      <w:widowControl w:val="0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2025-01-13T12:57:03Z</dcterms:created>
  <dcterms:modified xsi:type="dcterms:W3CDTF">2025-12-23T06:06:54Z</dcterms:modified>
</cp:coreProperties>
</file>