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spacing w:after="0" w:line="240" w:lineRule="auto"/>
        <w:ind w:right="175"/>
        <w:jc w:val="center"/>
        <w:rPr>
          <w:b w:val="1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widowControl w:val="0"/>
        <w:spacing w:after="0" w:line="240" w:lineRule="auto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widowControl w:val="0"/>
        <w:spacing w:after="0" w:line="240" w:lineRule="auto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 ТАГАНРОГА (ЗАПАДНАЯ) РОСТОВСКОЙ ОБЛАСТИ</w:t>
      </w:r>
    </w:p>
    <w:p w14:paraId="04000000">
      <w:pPr>
        <w:widowControl w:val="1"/>
        <w:spacing w:after="0" w:line="240" w:lineRule="auto"/>
        <w:ind w:right="175"/>
        <w:jc w:val="center"/>
        <w:rPr>
          <w:b w:val="1"/>
          <w:spacing w:val="20"/>
          <w:sz w:val="16"/>
        </w:rPr>
      </w:pPr>
    </w:p>
    <w:p w14:paraId="05000000">
      <w:pPr>
        <w:widowControl w:val="1"/>
        <w:spacing w:after="0" w:line="240" w:lineRule="auto"/>
        <w:ind w:right="175"/>
        <w:jc w:val="center"/>
        <w:rPr>
          <w:b w:val="1"/>
          <w:spacing w:val="20"/>
          <w:sz w:val="16"/>
        </w:rPr>
      </w:pPr>
    </w:p>
    <w:p w14:paraId="06000000">
      <w:pPr>
        <w:keepNext w:val="1"/>
        <w:widowControl w:val="1"/>
        <w:spacing w:after="0" w:line="240" w:lineRule="auto"/>
        <w:ind w:right="175"/>
        <w:jc w:val="center"/>
        <w:outlineLvl w:val="1"/>
        <w:rPr>
          <w:b w:val="1"/>
          <w:i w:val="1"/>
          <w:spacing w:val="20"/>
        </w:rPr>
      </w:pPr>
      <w:r>
        <w:rPr>
          <w:b w:val="1"/>
          <w:spacing w:val="20"/>
        </w:rPr>
        <w:t>ПОСТАНОВЛЕНИЕ</w:t>
      </w:r>
      <w:r>
        <w:rPr>
          <w:b w:val="1"/>
          <w:i w:val="1"/>
          <w:spacing w:val="20"/>
        </w:rPr>
        <w:t xml:space="preserve"> </w:t>
      </w:r>
    </w:p>
    <w:p w14:paraId="07000000">
      <w:pPr>
        <w:widowControl w:val="1"/>
        <w:spacing w:after="0" w:line="240" w:lineRule="auto"/>
        <w:ind w:right="175"/>
        <w:jc w:val="center"/>
        <w:rPr>
          <w:b w:val="1"/>
          <w:spacing w:val="20"/>
        </w:rPr>
      </w:pPr>
    </w:p>
    <w:p w14:paraId="08000000">
      <w:pPr>
        <w:widowControl w:val="1"/>
        <w:spacing w:after="0" w:line="240" w:lineRule="auto"/>
        <w:ind/>
        <w:jc w:val="both"/>
      </w:pPr>
      <w:r>
        <w:t xml:space="preserve">01 июля 2026 г.                                                          </w:t>
      </w:r>
      <w:r>
        <w:tab/>
      </w:r>
      <w:r>
        <w:t xml:space="preserve">  </w:t>
      </w:r>
      <w:r>
        <w:tab/>
      </w:r>
      <w:r>
        <w:t xml:space="preserve">               </w:t>
      </w:r>
      <w:r>
        <w:t xml:space="preserve">     </w:t>
      </w:r>
      <w:r>
        <w:t xml:space="preserve"> </w:t>
      </w:r>
      <w:r>
        <w:t>№ 3-10</w:t>
      </w:r>
    </w:p>
    <w:p w14:paraId="09000000">
      <w:pPr>
        <w:widowControl w:val="1"/>
        <w:spacing w:after="0" w:line="240" w:lineRule="auto"/>
        <w:ind w:right="175"/>
        <w:jc w:val="center"/>
      </w:pPr>
      <w:r>
        <w:t>г. Таганрог</w:t>
      </w:r>
    </w:p>
    <w:p w14:paraId="0A000000">
      <w:pPr>
        <w:widowControl w:val="1"/>
        <w:spacing w:after="0" w:line="240" w:lineRule="auto"/>
        <w:ind w:left="1701" w:right="1416"/>
        <w:jc w:val="both"/>
        <w:rPr>
          <w:b w:val="1"/>
        </w:rPr>
      </w:pPr>
    </w:p>
    <w:tbl>
      <w:tblPr>
        <w:tblStyle w:val="Style_1"/>
        <w:tblW w:type="auto" w:w="0"/>
        <w:jc w:val="center"/>
        <w:tblLayout w:type="fixed"/>
      </w:tblPr>
      <w:tblGrid>
        <w:gridCol w:w="7216"/>
      </w:tblGrid>
      <w:tr>
        <w:trPr>
          <w:trHeight w:hRule="atLeast" w:val="954"/>
        </w:trPr>
        <w:tc>
          <w:tcPr>
            <w:tcW w:type="dxa" w:w="7216"/>
            <w:shd w:fill="auto" w:val="clear"/>
          </w:tcPr>
          <w:p w14:paraId="0B000000">
            <w:pPr>
              <w:pStyle w:val="Style_2"/>
              <w:widowControl w:val="1"/>
              <w:ind/>
              <w:jc w:val="both"/>
              <w:rPr>
                <w:b w:val="1"/>
              </w:rPr>
            </w:pPr>
            <w:r>
              <w:rPr>
                <w:b w:val="1"/>
              </w:rPr>
              <w:t xml:space="preserve">О Рабочей группе Территориальной избирательной комиссии </w:t>
            </w:r>
            <w:r>
              <w:rPr>
                <w:b w:val="1"/>
              </w:rPr>
              <w:t xml:space="preserve">города Таганрога (западная) Ростовской области по контролю за соблюдением установленного порядка проведения предвыборной агитации </w:t>
            </w:r>
            <w:r>
              <w:rPr>
                <w:b w:val="1"/>
              </w:rPr>
              <w:t xml:space="preserve">                      </w:t>
            </w:r>
            <w:r>
              <w:rPr>
                <w:b w:val="1"/>
              </w:rPr>
              <w:t xml:space="preserve">в период подготовки и проведения выборов </w:t>
            </w:r>
            <w:r>
              <w:rPr>
                <w:rFonts w:ascii="Times New Roman" w:hAnsi="Times New Roman"/>
                <w:b w:val="1"/>
                <w:sz w:val="28"/>
              </w:rPr>
              <w:t xml:space="preserve">депутатов Государственной Думы Федерального Собрания </w:t>
            </w:r>
            <w:r>
              <w:rPr>
                <w:rFonts w:ascii="Times New Roman" w:hAnsi="Times New Roman"/>
                <w:b w:val="1"/>
                <w:sz w:val="28"/>
              </w:rPr>
              <w:br/>
            </w:r>
            <w:r>
              <w:rPr>
                <w:rFonts w:ascii="Times New Roman" w:hAnsi="Times New Roman"/>
                <w:b w:val="1"/>
                <w:sz w:val="28"/>
              </w:rPr>
              <w:t>Российской Федерации девятого созыва</w:t>
            </w:r>
          </w:p>
        </w:tc>
      </w:tr>
    </w:tbl>
    <w:p w14:paraId="0C000000">
      <w:pPr>
        <w:keepNext w:val="1"/>
        <w:widowControl w:val="1"/>
        <w:spacing w:after="0" w:line="240" w:lineRule="auto"/>
        <w:ind w:right="175"/>
        <w:jc w:val="center"/>
        <w:outlineLvl w:val="1"/>
        <w:rPr>
          <w:spacing w:val="20"/>
        </w:rPr>
      </w:pPr>
    </w:p>
    <w:p w14:paraId="0D000000">
      <w:pPr>
        <w:widowControl w:val="1"/>
        <w:tabs>
          <w:tab w:leader="none" w:pos="1134" w:val="left"/>
        </w:tabs>
        <w:spacing w:after="0" w:line="240" w:lineRule="auto"/>
        <w:ind w:firstLine="709"/>
        <w:jc w:val="both"/>
      </w:pPr>
      <w:r>
        <w:t>В соответствии с пунктом</w:t>
      </w:r>
      <w:r>
        <w:t xml:space="preserve"> </w:t>
      </w:r>
      <w:r>
        <w:t>9 статьи 26, пунктом 7 статьи 56 Федерального закона от 12.06.2002 № 67-ФЗ «Об основных гарантиях избирательных прав</w:t>
      </w:r>
      <w:r>
        <w:t xml:space="preserve"> </w:t>
      </w:r>
      <w:r>
        <w:t xml:space="preserve">               </w:t>
      </w:r>
      <w:r>
        <w:t>и права на участие в референдуме граждан Российской Федерации» и частью 13 статьи 17</w:t>
      </w:r>
      <w:r>
        <w:t xml:space="preserve"> </w:t>
      </w:r>
      <w:r>
        <w:t xml:space="preserve">Областного закона от 12.05.2016 № 525-ЗС «О выборах </w:t>
      </w:r>
      <w:r>
        <w:t xml:space="preserve">                                    </w:t>
      </w:r>
      <w:r>
        <w:t xml:space="preserve">и референдумах в Ростовской области», в целях обеспечения контроля </w:t>
      </w:r>
      <w:r>
        <w:t xml:space="preserve">                         </w:t>
      </w:r>
      <w:r>
        <w:t xml:space="preserve">за соблюдением установленного порядка проведения предвыборной агитации </w:t>
      </w:r>
      <w:r>
        <w:t xml:space="preserve">               </w:t>
      </w:r>
      <w:r>
        <w:t xml:space="preserve">в период подготовки и проведения выборов Губернатора Ростовской области, руководствуясь постановлением  Избирательной комиссии Ростовской области от </w:t>
      </w:r>
      <w:r>
        <w:t>18</w:t>
      </w:r>
      <w:r>
        <w:t>.06.202</w:t>
      </w:r>
      <w:r>
        <w:t>5</w:t>
      </w:r>
      <w:r>
        <w:t xml:space="preserve"> </w:t>
      </w:r>
      <w:r>
        <w:t>№ 1</w:t>
      </w:r>
      <w:r>
        <w:t>14</w:t>
      </w:r>
      <w:r>
        <w:t>-</w:t>
      </w:r>
      <w:r>
        <w:t>3</w:t>
      </w:r>
      <w:r>
        <w:t xml:space="preserve"> «</w:t>
      </w:r>
      <w:r>
        <w:t>О Положении о взаимодействии Избирательной комиссии Ростовской области с территориальными избирательными комиссиями при осуществлении контроля за соблюдением установленного порядка проведения предвыборной агитации в период подготовки и проведения выборов Губернатора Ростовской области</w:t>
      </w:r>
      <w:r>
        <w:t>»,</w:t>
      </w:r>
      <w:r>
        <w:t xml:space="preserve"> </w:t>
      </w:r>
      <w:r>
        <w:rPr>
          <w:rFonts w:ascii="Times New Roman" w:hAnsi="Times New Roman"/>
          <w:sz w:val="28"/>
        </w:rPr>
        <w:t xml:space="preserve"> Т</w:t>
      </w:r>
      <w:r>
        <w:rPr>
          <w:rFonts w:ascii="Times New Roman" w:hAnsi="Times New Roman"/>
          <w:sz w:val="28"/>
        </w:rPr>
        <w:t>ерриториальная</w:t>
      </w:r>
      <w:r>
        <w:rPr>
          <w:rFonts w:ascii="Times New Roman" w:hAnsi="Times New Roman"/>
          <w:sz w:val="28"/>
        </w:rPr>
        <w:t xml:space="preserve"> избирательная комиссия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E000000">
      <w:pPr>
        <w:widowControl w:val="1"/>
        <w:tabs>
          <w:tab w:leader="none" w:pos="1134" w:val="left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0F000000">
      <w:pPr>
        <w:widowControl w:val="1"/>
        <w:ind w:right="-185"/>
        <w:jc w:val="center"/>
      </w:pPr>
      <w:r>
        <w:t xml:space="preserve"> ПОСТАНОВЛЯЕТ:</w:t>
      </w:r>
    </w:p>
    <w:p w14:paraId="10000000">
      <w:pPr>
        <w:widowControl w:val="1"/>
        <w:numPr>
          <w:ilvl w:val="0"/>
          <w:numId w:val="1"/>
        </w:numPr>
        <w:tabs>
          <w:tab w:leader="none" w:pos="1134" w:val="left"/>
        </w:tabs>
        <w:spacing w:after="0"/>
        <w:ind w:firstLine="851" w:left="0"/>
        <w:jc w:val="both"/>
      </w:pPr>
      <w:r>
        <w:t>Утвердить Положение о Рабочей группе</w:t>
      </w:r>
      <w:r>
        <w:t xml:space="preserve"> Территориальной избирательной комиссии </w:t>
      </w:r>
      <w:r>
        <w:t xml:space="preserve">города Таганрога (западная) Ростовской области </w:t>
      </w:r>
      <w:r>
        <w:t>по контролю</w:t>
      </w:r>
      <w:r>
        <w:t xml:space="preserve"> </w:t>
      </w:r>
      <w:r>
        <w:t xml:space="preserve">за соблюдением </w:t>
      </w:r>
      <w:r>
        <w:t xml:space="preserve">установленного </w:t>
      </w:r>
      <w:r>
        <w:t xml:space="preserve">порядка проведения предвыборной агитации </w:t>
      </w:r>
      <w:r>
        <w:t xml:space="preserve">в период </w:t>
      </w:r>
      <w:r>
        <w:t>подготовк</w:t>
      </w:r>
      <w:r>
        <w:t>и</w:t>
      </w:r>
      <w:r>
        <w:t xml:space="preserve"> и проведени</w:t>
      </w:r>
      <w:r>
        <w:t>я</w:t>
      </w:r>
      <w:r>
        <w:t xml:space="preserve"> выборов </w:t>
      </w:r>
      <w:r>
        <w:rPr>
          <w:rFonts w:ascii="Times New Roman" w:hAnsi="Times New Roman"/>
          <w:sz w:val="28"/>
        </w:rPr>
        <w:t xml:space="preserve">депутатов Государственной Думы Федерального Собрания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Российской Федерации девятого созыва</w:t>
      </w:r>
      <w:r>
        <w:t xml:space="preserve"> (приложение № 1).</w:t>
      </w:r>
    </w:p>
    <w:p w14:paraId="11000000">
      <w:pPr>
        <w:widowControl w:val="1"/>
        <w:numPr>
          <w:ilvl w:val="0"/>
          <w:numId w:val="1"/>
        </w:numPr>
        <w:tabs>
          <w:tab w:leader="none" w:pos="1134" w:val="left"/>
        </w:tabs>
        <w:spacing w:after="0"/>
        <w:ind w:firstLine="851" w:left="0"/>
        <w:jc w:val="both"/>
      </w:pPr>
      <w:r>
        <w:t>Утвердить состав Рабочей группы</w:t>
      </w:r>
      <w:r>
        <w:t xml:space="preserve"> </w:t>
      </w:r>
      <w:r>
        <w:t xml:space="preserve">Территориальной избирательной комиссии </w:t>
      </w:r>
      <w:r>
        <w:t>города Таганрога (западная) Ростовской области</w:t>
      </w:r>
      <w:r>
        <w:t xml:space="preserve"> </w:t>
      </w:r>
      <w:r>
        <w:t xml:space="preserve">по контролю </w:t>
      </w:r>
      <w:r>
        <w:t xml:space="preserve">                        </w:t>
      </w:r>
      <w:r>
        <w:t xml:space="preserve">за соблюдением </w:t>
      </w:r>
      <w:r>
        <w:t xml:space="preserve">установленного </w:t>
      </w:r>
      <w:r>
        <w:t xml:space="preserve">порядка проведения предвыборной агитации </w:t>
      </w:r>
      <w:r>
        <w:t xml:space="preserve">              </w:t>
      </w:r>
      <w:r>
        <w:t xml:space="preserve">в период </w:t>
      </w:r>
      <w:r>
        <w:t>подготовк</w:t>
      </w:r>
      <w:r>
        <w:t>и</w:t>
      </w:r>
      <w:r>
        <w:t xml:space="preserve"> и проведении выборов </w:t>
      </w:r>
      <w:r>
        <w:rPr>
          <w:rFonts w:ascii="Times New Roman" w:hAnsi="Times New Roman"/>
          <w:sz w:val="28"/>
        </w:rPr>
        <w:t xml:space="preserve">депутатов Государственной Думы Федерального Собрания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Российской Федерации девятого созыва </w:t>
      </w:r>
      <w:r>
        <w:t>(приложение №</w:t>
      </w:r>
      <w:r>
        <w:t xml:space="preserve"> </w:t>
      </w:r>
      <w:r>
        <w:t>2)</w:t>
      </w:r>
      <w:r>
        <w:t>.</w:t>
      </w:r>
    </w:p>
    <w:p w14:paraId="12000000">
      <w:pPr>
        <w:widowControl w:val="1"/>
        <w:numPr>
          <w:ilvl w:val="0"/>
          <w:numId w:val="1"/>
        </w:numPr>
        <w:tabs>
          <w:tab w:leader="none" w:pos="1134" w:val="left"/>
        </w:tabs>
        <w:spacing w:after="0"/>
        <w:ind w:firstLine="851" w:left="0"/>
        <w:jc w:val="both"/>
      </w:pPr>
      <w:r>
        <w:t xml:space="preserve">Разместить настоящее постановление на сайте </w:t>
      </w:r>
      <w:r>
        <w:t xml:space="preserve">Территориальной избирательной комиссии </w:t>
      </w:r>
      <w:r>
        <w:t>города Таганрога (западная) Ростовской области</w:t>
      </w:r>
      <w:r>
        <w:t xml:space="preserve">                      в информационно-телекоммуникационной сети «Интернет».</w:t>
      </w:r>
    </w:p>
    <w:p w14:paraId="13000000">
      <w:pPr>
        <w:widowControl w:val="1"/>
        <w:numPr>
          <w:ilvl w:val="0"/>
          <w:numId w:val="1"/>
        </w:numPr>
        <w:tabs>
          <w:tab w:leader="none" w:pos="1134" w:val="left"/>
        </w:tabs>
        <w:spacing w:after="0"/>
        <w:ind w:firstLine="851" w:left="0"/>
        <w:jc w:val="both"/>
      </w:pPr>
      <w:r>
        <w:t xml:space="preserve">Контроль за выполнением настоящего постановления возложить </w:t>
      </w:r>
      <w:r>
        <w:br/>
      </w:r>
      <w:r>
        <w:t xml:space="preserve">на </w:t>
      </w:r>
      <w:r>
        <w:t xml:space="preserve">заместителя </w:t>
      </w:r>
      <w:r>
        <w:t>председателя</w:t>
      </w:r>
      <w:r>
        <w:t xml:space="preserve"> </w:t>
      </w:r>
      <w:r>
        <w:t xml:space="preserve">Территориальной избирательной комиссии </w:t>
      </w:r>
      <w:r>
        <w:t>города Таганрога (западная) Ростовской области</w:t>
      </w:r>
      <w:r>
        <w:t xml:space="preserve"> Н</w:t>
      </w:r>
      <w:r>
        <w:t xml:space="preserve">.Н.Кочиеву. </w:t>
      </w:r>
    </w:p>
    <w:p w14:paraId="14000000">
      <w:pPr>
        <w:widowControl w:val="1"/>
        <w:spacing w:after="0"/>
        <w:ind w:left="720"/>
        <w:jc w:val="both"/>
      </w:pPr>
    </w:p>
    <w:p w14:paraId="15000000">
      <w:pPr>
        <w:widowControl w:val="1"/>
        <w:spacing w:after="0"/>
        <w:ind w:left="720"/>
        <w:jc w:val="both"/>
      </w:pPr>
    </w:p>
    <w:tbl>
      <w:tblPr>
        <w:tblStyle w:val="Style_1"/>
        <w:tblW w:type="auto" w:w="0"/>
        <w:tblLayout w:type="fixed"/>
      </w:tblPr>
      <w:tblGrid>
        <w:gridCol w:w="3399"/>
        <w:gridCol w:w="3797"/>
        <w:gridCol w:w="2551"/>
      </w:tblGrid>
      <w:tr>
        <w:trPr>
          <w:trHeight w:hRule="atLeast" w:val="553"/>
        </w:trPr>
        <w:tc>
          <w:tcPr>
            <w:tcW w:type="dxa" w:w="3399"/>
            <w:shd w:fill="auto" w:val="clear"/>
          </w:tcPr>
          <w:p w14:paraId="16000000">
            <w:pPr>
              <w:widowControl w:val="1"/>
              <w:tabs>
                <w:tab w:leader="none" w:pos="7655" w:val="left"/>
                <w:tab w:leader="none" w:pos="7938" w:val="left"/>
                <w:tab w:leader="none" w:pos="8505" w:val="left"/>
              </w:tabs>
              <w:spacing w:after="0" w:line="240" w:lineRule="auto"/>
              <w:ind/>
            </w:pPr>
            <w:r>
              <w:t xml:space="preserve">Председатель комиссии                                                                     </w:t>
            </w:r>
          </w:p>
        </w:tc>
        <w:tc>
          <w:tcPr>
            <w:tcW w:type="dxa" w:w="3797"/>
            <w:shd w:fill="auto" w:val="clear"/>
          </w:tcPr>
          <w:p w14:paraId="17000000">
            <w:pPr>
              <w:widowControl w:val="1"/>
              <w:tabs>
                <w:tab w:leader="none" w:pos="7655" w:val="left"/>
                <w:tab w:leader="none" w:pos="7938" w:val="left"/>
                <w:tab w:leader="none" w:pos="8505" w:val="left"/>
              </w:tabs>
              <w:spacing w:after="0" w:line="240" w:lineRule="auto"/>
              <w:ind/>
            </w:pPr>
            <w:r>
              <w:t xml:space="preserve">                                 </w:t>
            </w:r>
          </w:p>
        </w:tc>
        <w:tc>
          <w:tcPr>
            <w:tcW w:type="dxa" w:w="2551"/>
            <w:shd w:fill="auto" w:val="clear"/>
          </w:tcPr>
          <w:p w14:paraId="18000000">
            <w:pPr>
              <w:widowControl w:val="1"/>
              <w:tabs>
                <w:tab w:leader="none" w:pos="7655" w:val="left"/>
                <w:tab w:leader="none" w:pos="7938" w:val="left"/>
                <w:tab w:leader="none" w:pos="8505" w:val="left"/>
              </w:tabs>
              <w:spacing w:after="0" w:line="240" w:lineRule="auto"/>
              <w:ind/>
              <w:jc w:val="left"/>
            </w:pPr>
            <w:r>
              <w:t>А.М.Ищенко</w:t>
            </w:r>
          </w:p>
        </w:tc>
      </w:tr>
      <w:tr>
        <w:trPr>
          <w:trHeight w:hRule="atLeast" w:val="561"/>
        </w:trPr>
        <w:tc>
          <w:tcPr>
            <w:tcW w:type="dxa" w:w="3399"/>
            <w:shd w:fill="auto" w:val="clear"/>
          </w:tcPr>
          <w:p w14:paraId="19000000">
            <w:pPr>
              <w:widowControl w:val="1"/>
              <w:tabs>
                <w:tab w:leader="none" w:pos="7655" w:val="left"/>
                <w:tab w:leader="none" w:pos="7938" w:val="left"/>
                <w:tab w:leader="none" w:pos="8505" w:val="left"/>
              </w:tabs>
              <w:spacing w:after="0" w:line="240" w:lineRule="auto"/>
              <w:ind/>
            </w:pPr>
            <w:r>
              <w:t xml:space="preserve">Секретарь комиссии                                                                  </w:t>
            </w:r>
          </w:p>
        </w:tc>
        <w:tc>
          <w:tcPr>
            <w:tcW w:type="dxa" w:w="3797"/>
            <w:shd w:fill="auto" w:val="clear"/>
          </w:tcPr>
          <w:p w14:paraId="1A000000">
            <w:pPr>
              <w:widowControl w:val="1"/>
              <w:tabs>
                <w:tab w:leader="none" w:pos="7655" w:val="left"/>
                <w:tab w:leader="none" w:pos="7938" w:val="left"/>
                <w:tab w:leader="none" w:pos="8505" w:val="left"/>
              </w:tabs>
              <w:spacing w:after="0" w:line="240" w:lineRule="auto"/>
              <w:ind/>
            </w:pPr>
          </w:p>
        </w:tc>
        <w:tc>
          <w:tcPr>
            <w:tcW w:type="dxa" w:w="2551"/>
            <w:shd w:fill="auto" w:val="clear"/>
          </w:tcPr>
          <w:p w14:paraId="1B000000">
            <w:pPr>
              <w:widowControl w:val="1"/>
              <w:tabs>
                <w:tab w:leader="none" w:pos="7655" w:val="left"/>
                <w:tab w:leader="none" w:pos="7938" w:val="left"/>
                <w:tab w:leader="none" w:pos="8505" w:val="left"/>
              </w:tabs>
              <w:spacing w:after="0" w:line="240" w:lineRule="auto"/>
              <w:ind/>
              <w:jc w:val="left"/>
            </w:pPr>
            <w:r>
              <w:t>Н.В.Мельникова</w:t>
            </w:r>
          </w:p>
        </w:tc>
      </w:tr>
    </w:tbl>
    <w:p w14:paraId="1C000000">
      <w:pPr>
        <w:widowControl w:val="1"/>
        <w:spacing w:after="0"/>
        <w:ind w:left="720"/>
        <w:jc w:val="both"/>
      </w:pPr>
    </w:p>
    <w:p w14:paraId="1D000000">
      <w:pPr>
        <w:widowControl w:val="1"/>
        <w:ind/>
        <w:jc w:val="both"/>
      </w:pPr>
    </w:p>
    <w:p w14:paraId="1E000000">
      <w:pPr>
        <w:widowControl w:val="1"/>
        <w:ind/>
        <w:jc w:val="both"/>
      </w:pPr>
    </w:p>
    <w:p w14:paraId="1F000000">
      <w:pPr>
        <w:widowControl w:val="1"/>
        <w:ind/>
        <w:jc w:val="both"/>
      </w:pPr>
    </w:p>
    <w:p w14:paraId="20000000">
      <w:pPr>
        <w:widowControl w:val="1"/>
        <w:ind/>
        <w:jc w:val="both"/>
      </w:pPr>
    </w:p>
    <w:p w14:paraId="21000000">
      <w:pPr>
        <w:widowControl w:val="1"/>
        <w:ind/>
        <w:jc w:val="both"/>
      </w:pPr>
    </w:p>
    <w:p w14:paraId="22000000">
      <w:pPr>
        <w:widowControl w:val="1"/>
        <w:ind/>
        <w:jc w:val="both"/>
      </w:pPr>
    </w:p>
    <w:p w14:paraId="23000000">
      <w:pPr>
        <w:widowControl w:val="1"/>
        <w:ind/>
        <w:jc w:val="both"/>
      </w:pPr>
    </w:p>
    <w:p w14:paraId="24000000">
      <w:pPr>
        <w:widowControl w:val="1"/>
        <w:ind/>
        <w:jc w:val="both"/>
      </w:pPr>
    </w:p>
    <w:p w14:paraId="25000000">
      <w:pPr>
        <w:widowControl w:val="1"/>
        <w:ind/>
        <w:jc w:val="both"/>
      </w:pPr>
    </w:p>
    <w:p w14:paraId="26000000">
      <w:pPr>
        <w:widowControl w:val="1"/>
        <w:ind/>
        <w:jc w:val="both"/>
      </w:pPr>
    </w:p>
    <w:p w14:paraId="27000000">
      <w:pPr>
        <w:widowControl w:val="1"/>
        <w:ind/>
        <w:jc w:val="both"/>
      </w:pPr>
    </w:p>
    <w:p w14:paraId="28000000">
      <w:pPr>
        <w:widowControl w:val="1"/>
        <w:ind/>
        <w:jc w:val="both"/>
      </w:pPr>
    </w:p>
    <w:p w14:paraId="29000000">
      <w:pPr>
        <w:widowControl w:val="1"/>
        <w:ind/>
        <w:jc w:val="both"/>
      </w:pPr>
    </w:p>
    <w:p w14:paraId="2A000000">
      <w:pPr>
        <w:widowControl w:val="1"/>
        <w:ind/>
        <w:jc w:val="both"/>
      </w:pPr>
    </w:p>
    <w:p w14:paraId="2B000000">
      <w:pPr>
        <w:widowControl w:val="1"/>
        <w:ind/>
        <w:jc w:val="both"/>
      </w:pPr>
    </w:p>
    <w:p w14:paraId="2C000000">
      <w:pPr>
        <w:widowControl w:val="1"/>
        <w:ind/>
        <w:jc w:val="both"/>
      </w:pPr>
    </w:p>
    <w:p w14:paraId="2D000000">
      <w:pPr>
        <w:widowControl w:val="1"/>
        <w:ind/>
        <w:jc w:val="both"/>
      </w:pPr>
    </w:p>
    <w:p w14:paraId="2E000000">
      <w:pPr>
        <w:widowControl w:val="1"/>
        <w:ind/>
        <w:jc w:val="both"/>
      </w:pPr>
    </w:p>
    <w:p w14:paraId="2F000000">
      <w:pPr>
        <w:widowControl w:val="1"/>
        <w:ind/>
        <w:jc w:val="both"/>
      </w:pPr>
    </w:p>
    <w:p w14:paraId="30000000">
      <w:pPr>
        <w:widowControl w:val="1"/>
        <w:tabs>
          <w:tab w:leader="none" w:pos="9497" w:val="right"/>
        </w:tabs>
        <w:spacing w:after="0" w:line="240" w:lineRule="auto"/>
        <w:ind w:left="5103"/>
        <w:jc w:val="center"/>
        <w:rPr>
          <w:sz w:val="24"/>
        </w:rPr>
      </w:pPr>
    </w:p>
    <w:p w14:paraId="31000000">
      <w:pPr>
        <w:widowControl w:val="1"/>
        <w:tabs>
          <w:tab w:leader="none" w:pos="9497" w:val="right"/>
        </w:tabs>
        <w:spacing w:after="0" w:line="240" w:lineRule="auto"/>
        <w:ind w:left="5103"/>
        <w:jc w:val="center"/>
        <w:rPr>
          <w:sz w:val="24"/>
        </w:rPr>
      </w:pPr>
    </w:p>
    <w:p w14:paraId="32000000">
      <w:pPr>
        <w:widowControl w:val="1"/>
        <w:tabs>
          <w:tab w:leader="none" w:pos="9497" w:val="right"/>
        </w:tabs>
        <w:spacing w:after="0" w:line="240" w:lineRule="auto"/>
        <w:ind w:left="5103"/>
        <w:jc w:val="center"/>
        <w:rPr>
          <w:sz w:val="24"/>
        </w:rPr>
      </w:pPr>
      <w:r>
        <w:rPr>
          <w:sz w:val="24"/>
        </w:rPr>
        <w:t xml:space="preserve">Приложение </w:t>
      </w:r>
      <w:r>
        <w:rPr>
          <w:sz w:val="24"/>
        </w:rPr>
        <w:t xml:space="preserve">№ </w:t>
      </w:r>
      <w:r>
        <w:rPr>
          <w:sz w:val="24"/>
        </w:rPr>
        <w:t xml:space="preserve">1 </w:t>
      </w:r>
    </w:p>
    <w:p w14:paraId="33000000">
      <w:pPr>
        <w:widowControl w:val="1"/>
        <w:tabs>
          <w:tab w:leader="none" w:pos="9497" w:val="right"/>
        </w:tabs>
        <w:spacing w:after="0" w:line="240" w:lineRule="auto"/>
        <w:ind w:left="5103"/>
        <w:jc w:val="center"/>
        <w:rPr>
          <w:sz w:val="24"/>
        </w:rPr>
      </w:pPr>
      <w:r>
        <w:rPr>
          <w:sz w:val="24"/>
        </w:rPr>
        <w:t xml:space="preserve">к постановлению Территориальной избирательной комиссии </w:t>
      </w:r>
    </w:p>
    <w:p w14:paraId="34000000">
      <w:pPr>
        <w:widowControl w:val="1"/>
        <w:tabs>
          <w:tab w:leader="none" w:pos="9497" w:val="right"/>
        </w:tabs>
        <w:spacing w:after="0" w:line="240" w:lineRule="auto"/>
        <w:ind w:left="5103"/>
        <w:jc w:val="center"/>
        <w:rPr>
          <w:sz w:val="24"/>
        </w:rPr>
      </w:pPr>
      <w:r>
        <w:rPr>
          <w:sz w:val="24"/>
        </w:rPr>
        <w:t xml:space="preserve">города Таганрога (западная) </w:t>
      </w:r>
      <w:r>
        <w:rPr>
          <w:sz w:val="24"/>
        </w:rPr>
        <w:br/>
      </w:r>
      <w:r>
        <w:rPr>
          <w:sz w:val="24"/>
        </w:rPr>
        <w:t xml:space="preserve">Ростовской области </w:t>
      </w:r>
    </w:p>
    <w:p w14:paraId="35000000">
      <w:pPr>
        <w:widowControl w:val="1"/>
        <w:tabs>
          <w:tab w:leader="none" w:pos="9497" w:val="right"/>
        </w:tabs>
        <w:spacing w:after="0" w:line="240" w:lineRule="auto"/>
        <w:ind w:left="5103"/>
        <w:jc w:val="center"/>
        <w:rPr>
          <w:sz w:val="24"/>
        </w:rPr>
      </w:pPr>
      <w:r>
        <w:rPr>
          <w:sz w:val="24"/>
        </w:rPr>
        <w:t>от 01</w:t>
      </w:r>
      <w:r>
        <w:rPr>
          <w:sz w:val="24"/>
        </w:rPr>
        <w:t>.07.2026 № 3-10</w:t>
      </w:r>
    </w:p>
    <w:p w14:paraId="36000000">
      <w:pPr>
        <w:keepNext w:val="1"/>
        <w:widowControl w:val="1"/>
        <w:spacing w:after="0" w:line="240" w:lineRule="auto"/>
        <w:ind/>
        <w:jc w:val="center"/>
        <w:outlineLvl w:val="5"/>
      </w:pPr>
    </w:p>
    <w:p w14:paraId="37000000">
      <w:pPr>
        <w:keepNext w:val="1"/>
        <w:widowControl w:val="1"/>
        <w:spacing w:after="0" w:line="240" w:lineRule="auto"/>
        <w:ind/>
        <w:jc w:val="center"/>
        <w:outlineLvl w:val="5"/>
      </w:pPr>
      <w:r>
        <w:t>ПОЛОЖЕНИЕ</w:t>
      </w:r>
    </w:p>
    <w:p w14:paraId="38000000">
      <w:pPr>
        <w:widowControl w:val="1"/>
        <w:spacing w:after="0" w:line="240" w:lineRule="auto"/>
        <w:ind/>
        <w:jc w:val="center"/>
        <w:rPr>
          <w:vertAlign w:val="superscript"/>
        </w:rPr>
      </w:pPr>
      <w:r>
        <w:t xml:space="preserve">о Рабочей группе при </w:t>
      </w:r>
      <w:r>
        <w:t xml:space="preserve">Территориальной избирательной комиссии </w:t>
      </w:r>
      <w:r>
        <w:t>города Таганрога (западная) Ростовской области</w:t>
      </w:r>
    </w:p>
    <w:p w14:paraId="39000000">
      <w:pPr>
        <w:widowControl w:val="1"/>
        <w:spacing w:after="0" w:line="240" w:lineRule="auto"/>
        <w:ind/>
        <w:jc w:val="center"/>
      </w:pPr>
      <w:r>
        <w:t xml:space="preserve">по контролю за соблюдением установленного порядка проведения предвыборной агитации в период подготовки и проведения выборов </w:t>
      </w:r>
      <w:r>
        <w:rPr>
          <w:rFonts w:ascii="Times New Roman" w:hAnsi="Times New Roman"/>
          <w:sz w:val="28"/>
        </w:rPr>
        <w:t xml:space="preserve">депутатов Государственной Думы Федерального Собрания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Российской Федерации девятого созыва</w:t>
      </w:r>
    </w:p>
    <w:p w14:paraId="3A000000">
      <w:pPr>
        <w:widowControl w:val="1"/>
        <w:spacing w:after="0" w:line="240" w:lineRule="auto"/>
        <w:ind/>
        <w:jc w:val="center"/>
      </w:pPr>
    </w:p>
    <w:p w14:paraId="3B000000">
      <w:pPr>
        <w:widowControl w:val="1"/>
        <w:spacing w:after="0" w:line="240" w:lineRule="auto"/>
        <w:ind/>
        <w:jc w:val="center"/>
      </w:pPr>
      <w:r>
        <w:t>1. Общие положения</w:t>
      </w:r>
    </w:p>
    <w:p w14:paraId="3C000000">
      <w:pPr>
        <w:widowControl w:val="1"/>
        <w:spacing w:after="0" w:line="240" w:lineRule="auto"/>
        <w:ind/>
        <w:jc w:val="center"/>
        <w:rPr>
          <w:sz w:val="16"/>
        </w:rPr>
      </w:pPr>
    </w:p>
    <w:p w14:paraId="3D000000">
      <w:pPr>
        <w:widowControl w:val="1"/>
        <w:spacing w:after="0" w:line="240" w:lineRule="auto"/>
        <w:ind w:firstLine="709"/>
        <w:jc w:val="both"/>
      </w:pPr>
      <w:r>
        <w:t xml:space="preserve">1.1. Настоящее Положение определяет порядок и формы деятельности Рабочей группы при </w:t>
      </w:r>
      <w:r>
        <w:t xml:space="preserve">Территориальной избирательной комиссии </w:t>
      </w:r>
      <w:r>
        <w:t>города Таганрога (</w:t>
      </w:r>
      <w:r>
        <w:t>западная</w:t>
      </w:r>
      <w:r>
        <w:t>) Ростовской области</w:t>
      </w:r>
      <w:r>
        <w:t xml:space="preserve"> по контролю за соблюдением установленного порядка проведения предвыборной агитации в период подготовки и проведения выборов </w:t>
      </w:r>
      <w:r>
        <w:rPr>
          <w:rFonts w:ascii="Times New Roman" w:hAnsi="Times New Roman"/>
          <w:sz w:val="28"/>
        </w:rPr>
        <w:t xml:space="preserve">депутатов Государственной Думы Федерального Собрания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Российской Федерации девятого созыва</w:t>
      </w:r>
      <w:r>
        <w:t xml:space="preserve"> (далее – Рабочая группа).</w:t>
      </w:r>
    </w:p>
    <w:p w14:paraId="3E000000">
      <w:pPr>
        <w:widowControl w:val="1"/>
        <w:spacing w:after="0" w:line="240" w:lineRule="auto"/>
        <w:ind w:firstLine="720"/>
        <w:jc w:val="both"/>
      </w:pPr>
      <w:r>
        <w:t xml:space="preserve">1.2. Рабочая группа образуется при </w:t>
      </w:r>
      <w:r>
        <w:t xml:space="preserve">Территориальной избирательной комиссии </w:t>
      </w:r>
      <w:r>
        <w:t>города Таганрога (западная) Ростовской области</w:t>
      </w:r>
      <w:r>
        <w:t xml:space="preserve"> (далее – ТИК</w:t>
      </w:r>
      <w:r>
        <w:t xml:space="preserve"> </w:t>
      </w:r>
      <w:r>
        <w:t>города Таганрога (</w:t>
      </w:r>
      <w:r>
        <w:t>западная</w:t>
      </w:r>
      <w:r>
        <w:t xml:space="preserve">) </w:t>
      </w:r>
      <w:r>
        <w:t>для обеспечения взаимодействия ТИК</w:t>
      </w:r>
      <w:r>
        <w:t xml:space="preserve"> </w:t>
      </w:r>
      <w:r>
        <w:t>города Таганрога (</w:t>
      </w:r>
      <w:r>
        <w:t>западная</w:t>
      </w:r>
      <w:r>
        <w:t>)</w:t>
      </w:r>
      <w:r>
        <w:t xml:space="preserve"> с Избирательной комиссией Ростовской области при осуществлении контроля за соблюдением установленного порядка проведения предвыборной агитации в период подготовки и проведения выборов </w:t>
      </w:r>
      <w:r>
        <w:rPr>
          <w:rFonts w:ascii="Times New Roman" w:hAnsi="Times New Roman"/>
          <w:sz w:val="28"/>
        </w:rPr>
        <w:t xml:space="preserve">депутатов Государственной Думы Федерального Собрания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Российской Федерации девятого созыва</w:t>
      </w:r>
      <w:r>
        <w:t xml:space="preserve"> и других задач, предусмотренных настоящим Положением.</w:t>
      </w:r>
    </w:p>
    <w:p w14:paraId="3F000000">
      <w:pPr>
        <w:widowControl w:val="1"/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>
        <w:t>1.3. </w:t>
      </w:r>
      <w:r>
        <w:rPr>
          <w:rFonts w:ascii="Times New Roman" w:hAnsi="Times New Roman"/>
          <w:sz w:val="28"/>
        </w:rPr>
        <w:t xml:space="preserve">В своей деятельности Рабочая группа руководствуется Конституцией Российской Федерации, </w:t>
      </w:r>
      <w:r>
        <w:rPr>
          <w:rFonts w:ascii="Times New Roman" w:hAnsi="Times New Roman"/>
          <w:sz w:val="28"/>
        </w:rPr>
        <w:t>Ф</w:t>
      </w:r>
      <w:r>
        <w:rPr>
          <w:rFonts w:ascii="Times New Roman" w:hAnsi="Times New Roman"/>
          <w:sz w:val="28"/>
        </w:rPr>
        <w:t>едеральны</w:t>
      </w:r>
      <w:r>
        <w:rPr>
          <w:rFonts w:ascii="Times New Roman" w:hAnsi="Times New Roman"/>
          <w:sz w:val="28"/>
        </w:rPr>
        <w:t>м законом от 22.02.2014 № 20</w:t>
      </w:r>
      <w:r>
        <w:rPr>
          <w:rFonts w:ascii="Times New Roman" w:hAnsi="Times New Roman"/>
          <w:sz w:val="28"/>
        </w:rPr>
        <w:t xml:space="preserve">-ФЗ </w:t>
      </w:r>
      <w:r>
        <w:rPr>
          <w:rFonts w:ascii="Times New Roman" w:hAnsi="Times New Roman"/>
          <w:sz w:val="28"/>
        </w:rPr>
        <w:t>«</w:t>
      </w:r>
      <w:r>
        <w:rPr>
          <w:rFonts w:ascii="Times New Roman" w:hAnsi="Times New Roman"/>
          <w:sz w:val="28"/>
        </w:rPr>
        <w:t>О выборах депутатов Государственной Думы Федерального Собрания Российской Федерации</w:t>
      </w:r>
      <w:r>
        <w:rPr>
          <w:rFonts w:ascii="Times New Roman" w:hAnsi="Times New Roman"/>
          <w:sz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Закон</w:t>
      </w:r>
      <w:r>
        <w:rPr>
          <w:rFonts w:ascii="Times New Roman" w:hAnsi="Times New Roman"/>
          <w:sz w:val="28"/>
        </w:rPr>
        <w:t>ом Российской Федерации от</w:t>
      </w:r>
      <w:r>
        <w:rPr>
          <w:rFonts w:ascii="Times New Roman" w:hAnsi="Times New Roman"/>
          <w:sz w:val="28"/>
        </w:rPr>
        <w:t xml:space="preserve"> 27.12.199</w:t>
      </w:r>
      <w:r>
        <w:rPr>
          <w:rFonts w:ascii="Times New Roman" w:hAnsi="Times New Roman"/>
          <w:sz w:val="28"/>
        </w:rPr>
        <w:t>1 №</w:t>
      </w:r>
      <w:r>
        <w:rPr>
          <w:rFonts w:ascii="Times New Roman" w:hAnsi="Times New Roman"/>
          <w:sz w:val="28"/>
        </w:rPr>
        <w:t xml:space="preserve"> 2124-1 </w:t>
      </w:r>
      <w:r>
        <w:rPr>
          <w:rFonts w:ascii="Times New Roman" w:hAnsi="Times New Roman"/>
          <w:sz w:val="28"/>
        </w:rPr>
        <w:t>«</w:t>
      </w:r>
      <w:r>
        <w:rPr>
          <w:rFonts w:ascii="Times New Roman" w:hAnsi="Times New Roman"/>
          <w:sz w:val="28"/>
        </w:rPr>
        <w:t>О средствах массовой информации</w:t>
      </w:r>
      <w:r>
        <w:rPr>
          <w:rFonts w:ascii="Times New Roman" w:hAnsi="Times New Roman"/>
          <w:sz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 xml:space="preserve">иными </w:t>
      </w:r>
      <w:r>
        <w:rPr>
          <w:rFonts w:ascii="Times New Roman" w:hAnsi="Times New Roman"/>
          <w:sz w:val="28"/>
        </w:rPr>
        <w:t xml:space="preserve">федеральными </w:t>
      </w:r>
      <w:r>
        <w:rPr>
          <w:rFonts w:ascii="Times New Roman" w:hAnsi="Times New Roman"/>
          <w:sz w:val="28"/>
        </w:rPr>
        <w:t>законами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правовыми актами Центральной избирательной комиссии Российской Федерации, Избирательной комиссии Ростовской области, а также настоящим Положением.</w:t>
      </w:r>
    </w:p>
    <w:p w14:paraId="40000000">
      <w:pPr>
        <w:widowControl w:val="1"/>
        <w:spacing w:after="0" w:line="240" w:lineRule="auto"/>
        <w:ind w:firstLine="720"/>
        <w:jc w:val="both"/>
      </w:pPr>
      <w:r>
        <w:t xml:space="preserve">1.4. В состав Рабочей группы входят заместитель председателя </w:t>
      </w:r>
      <w:r>
        <w:t>ТИК</w:t>
      </w:r>
      <w:r>
        <w:t xml:space="preserve"> </w:t>
      </w:r>
      <w:r>
        <w:t>города Таганрога (</w:t>
      </w:r>
      <w:r>
        <w:t>западная</w:t>
      </w:r>
      <w:r>
        <w:t>)</w:t>
      </w:r>
      <w:r>
        <w:t>, член ТИК</w:t>
      </w:r>
      <w:r>
        <w:t xml:space="preserve"> </w:t>
      </w:r>
      <w:r>
        <w:t>города Таганрога (</w:t>
      </w:r>
      <w:r>
        <w:t>западная</w:t>
      </w:r>
      <w:r>
        <w:t>)</w:t>
      </w:r>
      <w:r>
        <w:t xml:space="preserve"> с правом решающего голоса, системный администратор территориального комплекса средств автоматизации сектора эксплуатации ГАС «Выборы», представитель местной администрации (исполнительно-распорядительного органа муниципального образования) (по согласованию), сотрудник территориального органа вну</w:t>
      </w:r>
      <w:r>
        <w:t xml:space="preserve">тренних дел (по согласованию). </w:t>
      </w:r>
      <w:r>
        <w:t xml:space="preserve">В состав Рабочей группы могут </w:t>
      </w:r>
      <w:r>
        <w:t>по согласованию входить иные лица.</w:t>
      </w:r>
    </w:p>
    <w:p w14:paraId="41000000">
      <w:pPr>
        <w:widowControl w:val="1"/>
        <w:spacing w:after="0" w:line="240" w:lineRule="auto"/>
        <w:ind w:firstLine="720"/>
        <w:jc w:val="both"/>
      </w:pPr>
      <w:r>
        <w:t>1.5. Состав Рабочей группы утверждается постановлением ТИК</w:t>
      </w:r>
      <w:r>
        <w:t xml:space="preserve"> </w:t>
      </w:r>
      <w:r>
        <w:t>города Таганрога (</w:t>
      </w:r>
      <w:r>
        <w:t>западная</w:t>
      </w:r>
      <w:r>
        <w:t>)</w:t>
      </w:r>
      <w:r>
        <w:t>. Руководитель, заместитель руководит</w:t>
      </w:r>
      <w:r>
        <w:t xml:space="preserve">еля Рабочей группы назначаются </w:t>
      </w:r>
      <w:r>
        <w:t>из числа членов Рабочей группы.</w:t>
      </w:r>
    </w:p>
    <w:p w14:paraId="42000000">
      <w:pPr>
        <w:widowControl w:val="1"/>
        <w:spacing w:after="0" w:line="240" w:lineRule="auto"/>
        <w:ind w:firstLine="720"/>
        <w:jc w:val="both"/>
        <w:rPr>
          <w:sz w:val="16"/>
        </w:rPr>
      </w:pPr>
    </w:p>
    <w:p w14:paraId="43000000">
      <w:pPr>
        <w:widowControl w:val="1"/>
        <w:spacing w:after="0" w:line="240" w:lineRule="auto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</w:t>
      </w:r>
      <w:r>
        <w:rPr>
          <w:rFonts w:ascii="Times New Roman" w:hAnsi="Times New Roman"/>
          <w:sz w:val="28"/>
        </w:rPr>
        <w:t>. </w:t>
      </w:r>
      <w:r>
        <w:rPr>
          <w:rFonts w:ascii="Times New Roman" w:hAnsi="Times New Roman"/>
          <w:sz w:val="28"/>
        </w:rPr>
        <w:t>Вопросы, входящие в</w:t>
      </w:r>
      <w:r>
        <w:rPr>
          <w:rFonts w:ascii="Times New Roman" w:hAnsi="Times New Roman"/>
          <w:sz w:val="28"/>
        </w:rPr>
        <w:t xml:space="preserve"> компетенцию Рабочей группы</w:t>
      </w:r>
    </w:p>
    <w:p w14:paraId="44000000">
      <w:pPr>
        <w:widowControl w:val="1"/>
        <w:spacing w:after="0" w:line="240" w:lineRule="auto"/>
        <w:ind/>
        <w:jc w:val="both"/>
        <w:rPr>
          <w:rFonts w:ascii="Times New Roman" w:hAnsi="Times New Roman"/>
          <w:sz w:val="28"/>
        </w:rPr>
      </w:pPr>
    </w:p>
    <w:p w14:paraId="45000000">
      <w:pPr>
        <w:widowControl w:val="1"/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2.1.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</w:rPr>
        <w:t xml:space="preserve">В </w:t>
      </w:r>
      <w:r>
        <w:rPr>
          <w:rFonts w:ascii="Times New Roman" w:hAnsi="Times New Roman"/>
          <w:sz w:val="28"/>
        </w:rPr>
        <w:t>компетенцию</w:t>
      </w:r>
      <w:r>
        <w:rPr>
          <w:rFonts w:ascii="Times New Roman" w:hAnsi="Times New Roman"/>
          <w:sz w:val="28"/>
        </w:rPr>
        <w:t xml:space="preserve"> Рабочей группы входит</w:t>
      </w:r>
      <w:r>
        <w:rPr>
          <w:rFonts w:ascii="Times New Roman" w:hAnsi="Times New Roman"/>
          <w:sz w:val="28"/>
        </w:rPr>
        <w:t>:</w:t>
      </w:r>
    </w:p>
    <w:p w14:paraId="46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2.1.1. А</w:t>
      </w:r>
      <w:r>
        <w:rPr>
          <w:rFonts w:ascii="Times New Roman" w:hAnsi="Times New Roman"/>
          <w:sz w:val="28"/>
        </w:rPr>
        <w:t xml:space="preserve">нализ законности </w:t>
      </w:r>
      <w:r>
        <w:rPr>
          <w:rFonts w:ascii="Times New Roman" w:hAnsi="Times New Roman"/>
          <w:sz w:val="28"/>
        </w:rPr>
        <w:t>распространения, обнародования</w:t>
      </w:r>
      <w:r>
        <w:rPr>
          <w:rFonts w:ascii="Times New Roman" w:hAnsi="Times New Roman"/>
          <w:sz w:val="28"/>
        </w:rPr>
        <w:t xml:space="preserve"> агитационных материалов</w:t>
      </w:r>
      <w:r>
        <w:rPr>
          <w:rFonts w:ascii="Times New Roman" w:hAnsi="Times New Roman"/>
          <w:sz w:val="28"/>
        </w:rPr>
        <w:t xml:space="preserve">, в том числе </w:t>
      </w:r>
      <w:r>
        <w:rPr>
          <w:rFonts w:ascii="Times New Roman" w:hAnsi="Times New Roman"/>
          <w:sz w:val="28"/>
        </w:rPr>
        <w:t>через средства</w:t>
      </w:r>
      <w:r>
        <w:rPr>
          <w:rFonts w:ascii="Times New Roman" w:hAnsi="Times New Roman"/>
          <w:sz w:val="28"/>
        </w:rPr>
        <w:t xml:space="preserve"> массовой информации</w:t>
      </w:r>
      <w:r>
        <w:rPr>
          <w:rFonts w:ascii="Times New Roman" w:hAnsi="Times New Roman"/>
          <w:sz w:val="28"/>
        </w:rPr>
        <w:t xml:space="preserve">, сеть «Интернет» (сайты, социальные сети, </w:t>
      </w:r>
      <w:r>
        <w:rPr>
          <w:rFonts w:ascii="Times New Roman" w:hAnsi="Times New Roman"/>
          <w:sz w:val="28"/>
        </w:rPr>
        <w:t>мессенджеры</w:t>
      </w:r>
      <w:r>
        <w:rPr>
          <w:rFonts w:ascii="Times New Roman" w:hAnsi="Times New Roman"/>
          <w:sz w:val="28"/>
        </w:rPr>
        <w:t xml:space="preserve"> и т.п.)</w:t>
      </w:r>
      <w:r>
        <w:rPr>
          <w:rFonts w:ascii="Times New Roman" w:hAnsi="Times New Roman"/>
          <w:sz w:val="28"/>
        </w:rPr>
        <w:t>.</w:t>
      </w:r>
    </w:p>
    <w:p w14:paraId="47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2.1.2. </w:t>
      </w:r>
      <w:r>
        <w:rPr>
          <w:rFonts w:ascii="Times New Roman" w:hAnsi="Times New Roman"/>
          <w:sz w:val="28"/>
        </w:rPr>
        <w:t>Сравнение</w:t>
      </w:r>
      <w:r>
        <w:rPr>
          <w:rFonts w:ascii="Times New Roman" w:hAnsi="Times New Roman"/>
          <w:sz w:val="28"/>
        </w:rPr>
        <w:t xml:space="preserve"> печатных агитационных материалов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аудиовизуальных агитационных материалов, иных агитационных материалов, распространяемых на соответствующей территории, с образцами</w:t>
      </w:r>
      <w:r>
        <w:rPr>
          <w:rFonts w:ascii="Times New Roman" w:hAnsi="Times New Roman"/>
          <w:sz w:val="28"/>
        </w:rPr>
        <w:t xml:space="preserve"> агитационных материалов</w:t>
      </w:r>
      <w:r>
        <w:rPr>
          <w:rFonts w:ascii="Times New Roman" w:hAnsi="Times New Roman"/>
          <w:sz w:val="28"/>
        </w:rPr>
        <w:t xml:space="preserve">, представленными </w:t>
      </w:r>
      <w:r>
        <w:rPr>
          <w:rFonts w:ascii="Times New Roman" w:hAnsi="Times New Roman"/>
          <w:sz w:val="28"/>
        </w:rPr>
        <w:t xml:space="preserve">политическими партиями, </w:t>
      </w:r>
      <w:r>
        <w:rPr>
          <w:rFonts w:ascii="Times New Roman" w:hAnsi="Times New Roman"/>
          <w:sz w:val="28"/>
        </w:rPr>
        <w:t>кандидатами в Избирательную</w:t>
      </w:r>
      <w:r>
        <w:rPr>
          <w:rFonts w:ascii="Times New Roman" w:hAnsi="Times New Roman"/>
          <w:sz w:val="28"/>
        </w:rPr>
        <w:t xml:space="preserve"> комиссию </w:t>
      </w:r>
      <w:r>
        <w:rPr>
          <w:rFonts w:ascii="Times New Roman" w:hAnsi="Times New Roman"/>
          <w:sz w:val="28"/>
        </w:rPr>
        <w:t xml:space="preserve">Ростовской области </w:t>
      </w:r>
      <w:r>
        <w:rPr>
          <w:rFonts w:ascii="Times New Roman" w:hAnsi="Times New Roman"/>
          <w:sz w:val="28"/>
        </w:rPr>
        <w:t>путем</w:t>
      </w:r>
      <w:r>
        <w:rPr>
          <w:rFonts w:ascii="Times New Roman" w:hAnsi="Times New Roman"/>
          <w:sz w:val="28"/>
        </w:rPr>
        <w:t xml:space="preserve"> сопоставления</w:t>
      </w:r>
      <w:r>
        <w:rPr>
          <w:rFonts w:ascii="Times New Roman" w:hAnsi="Times New Roman"/>
          <w:sz w:val="28"/>
        </w:rPr>
        <w:t xml:space="preserve"> их с агитационными материалами, размещенными в </w:t>
      </w:r>
      <w:r>
        <w:rPr>
          <w:rFonts w:ascii="Times New Roman" w:hAnsi="Times New Roman"/>
          <w:sz w:val="28"/>
        </w:rPr>
        <w:t>информационно-поисков</w:t>
      </w:r>
      <w:r>
        <w:rPr>
          <w:rFonts w:ascii="Times New Roman" w:hAnsi="Times New Roman"/>
          <w:sz w:val="28"/>
        </w:rPr>
        <w:t>ой</w:t>
      </w:r>
      <w:r>
        <w:rPr>
          <w:rFonts w:ascii="Times New Roman" w:hAnsi="Times New Roman"/>
          <w:sz w:val="28"/>
        </w:rPr>
        <w:t xml:space="preserve"> систем</w:t>
      </w:r>
      <w:r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 xml:space="preserve"> «Чистый Дон»</w:t>
      </w:r>
      <w:r>
        <w:rPr>
          <w:rFonts w:ascii="Times New Roman" w:hAnsi="Times New Roman"/>
          <w:sz w:val="28"/>
        </w:rPr>
        <w:t xml:space="preserve"> на сайте Избирательной комиссии Ростовской области</w:t>
      </w:r>
      <w:r>
        <w:rPr>
          <w:rFonts w:ascii="Times New Roman" w:hAnsi="Times New Roman"/>
          <w:sz w:val="28"/>
        </w:rPr>
        <w:t>.</w:t>
      </w:r>
    </w:p>
    <w:p w14:paraId="48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2.1.3. Н</w:t>
      </w:r>
      <w:r>
        <w:rPr>
          <w:rFonts w:ascii="Times New Roman" w:hAnsi="Times New Roman"/>
          <w:sz w:val="28"/>
        </w:rPr>
        <w:t xml:space="preserve">езамедлительное направление </w:t>
      </w:r>
      <w:r>
        <w:rPr>
          <w:rFonts w:ascii="Times New Roman" w:hAnsi="Times New Roman"/>
          <w:sz w:val="28"/>
        </w:rPr>
        <w:t>агитационных материалов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распространяемых (</w:t>
      </w:r>
      <w:r>
        <w:rPr>
          <w:rFonts w:ascii="Times New Roman" w:hAnsi="Times New Roman"/>
          <w:sz w:val="28"/>
        </w:rPr>
        <w:t>обнародуемых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 с нарушениями требований федерального законодательства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в контрольно-ревизионный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отдел</w:t>
      </w:r>
      <w:r>
        <w:rPr>
          <w:rFonts w:ascii="Times New Roman" w:hAnsi="Times New Roman"/>
          <w:sz w:val="28"/>
        </w:rPr>
        <w:t xml:space="preserve"> Избирательной комиссии Ростовской области </w:t>
      </w:r>
      <w:r>
        <w:rPr>
          <w:rFonts w:ascii="Times New Roman" w:hAnsi="Times New Roman"/>
          <w:sz w:val="28"/>
        </w:rPr>
        <w:t>(</w:t>
      </w:r>
      <w:r>
        <w:rPr>
          <w:rFonts w:ascii="Times New Roman" w:hAnsi="Times New Roman"/>
          <w:sz w:val="28"/>
        </w:rPr>
        <w:t>в электронном виде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>.</w:t>
      </w:r>
    </w:p>
    <w:p w14:paraId="49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2.1.4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 Р</w:t>
      </w:r>
      <w:r>
        <w:rPr>
          <w:rFonts w:ascii="Times New Roman" w:hAnsi="Times New Roman"/>
          <w:sz w:val="28"/>
        </w:rPr>
        <w:t xml:space="preserve">ассмотрение вопросов, касающихся публикаций результатов опросов общественного мнения, связанных с выборами </w:t>
      </w:r>
      <w:r>
        <w:rPr>
          <w:rFonts w:ascii="Times New Roman" w:hAnsi="Times New Roman"/>
          <w:sz w:val="28"/>
        </w:rPr>
        <w:t>депутатов Государственной Думы Федерального Собрания Российской Федерации девятого созыва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14:paraId="4A000000">
      <w:pPr>
        <w:widowControl w:val="1"/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2.1.5. Е</w:t>
      </w:r>
      <w:r>
        <w:rPr>
          <w:rFonts w:ascii="Times New Roman" w:hAnsi="Times New Roman"/>
          <w:sz w:val="28"/>
        </w:rPr>
        <w:t>жедневный сбор информации о формах и методах проведения предвыборной агитаци</w:t>
      </w:r>
      <w:r>
        <w:rPr>
          <w:rFonts w:ascii="Times New Roman" w:hAnsi="Times New Roman"/>
          <w:sz w:val="28"/>
        </w:rPr>
        <w:t>и на соответствующей территории</w:t>
      </w:r>
      <w:r>
        <w:rPr>
          <w:rFonts w:ascii="Times New Roman" w:hAnsi="Times New Roman"/>
          <w:sz w:val="28"/>
        </w:rPr>
        <w:t xml:space="preserve"> (на</w:t>
      </w:r>
      <w:r>
        <w:rPr>
          <w:rFonts w:ascii="Times New Roman" w:hAnsi="Times New Roman"/>
          <w:sz w:val="28"/>
        </w:rPr>
        <w:t xml:space="preserve"> каналах организаций телерадиовещания, в периодических печатных изданиях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и сетевых изданиях, о проведении агитационных публичных мероприятий,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об изготовлении и распространении, в том числе в информационно-телекоммуникационных сетях, включая сеть «Интернет», печатных, аудиовизуальных и других агитационных материалов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>.</w:t>
      </w:r>
    </w:p>
    <w:p w14:paraId="4B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2.1.6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 П</w:t>
      </w:r>
      <w:r>
        <w:rPr>
          <w:rFonts w:ascii="Times New Roman" w:hAnsi="Times New Roman"/>
          <w:sz w:val="28"/>
        </w:rPr>
        <w:t xml:space="preserve">одготовка обобщенной информации по </w:t>
      </w:r>
      <w:r>
        <w:rPr>
          <w:rFonts w:ascii="Times New Roman" w:hAnsi="Times New Roman"/>
          <w:sz w:val="28"/>
        </w:rPr>
        <w:t>формам</w:t>
      </w:r>
      <w:r>
        <w:rPr>
          <w:rFonts w:ascii="Times New Roman" w:hAnsi="Times New Roman"/>
          <w:sz w:val="28"/>
        </w:rPr>
        <w:t xml:space="preserve"> предвыборной</w:t>
      </w:r>
      <w:r>
        <w:rPr>
          <w:rFonts w:ascii="Times New Roman" w:hAnsi="Times New Roman"/>
          <w:sz w:val="28"/>
        </w:rPr>
        <w:t xml:space="preserve"> агитации.</w:t>
      </w:r>
    </w:p>
    <w:p w14:paraId="4C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2.1.7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</w:rPr>
        <w:t>Р</w:t>
      </w:r>
      <w:r>
        <w:rPr>
          <w:rFonts w:ascii="Times New Roman" w:hAnsi="Times New Roman"/>
          <w:sz w:val="28"/>
        </w:rPr>
        <w:t>ассмотрение</w:t>
      </w:r>
      <w:r>
        <w:rPr>
          <w:rFonts w:ascii="Times New Roman" w:hAnsi="Times New Roman"/>
          <w:sz w:val="28"/>
        </w:rPr>
        <w:t xml:space="preserve"> на заседаниях Рабочей группы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жалоб, заявлений и </w:t>
      </w:r>
      <w:r>
        <w:rPr>
          <w:rFonts w:ascii="Times New Roman" w:hAnsi="Times New Roman"/>
          <w:sz w:val="28"/>
        </w:rPr>
        <w:t xml:space="preserve">иных </w:t>
      </w:r>
      <w:r>
        <w:rPr>
          <w:rFonts w:ascii="Times New Roman" w:hAnsi="Times New Roman"/>
          <w:sz w:val="28"/>
        </w:rPr>
        <w:t>обращений,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поступающих</w:t>
      </w:r>
      <w:r>
        <w:rPr>
          <w:rFonts w:ascii="Times New Roman" w:hAnsi="Times New Roman"/>
          <w:sz w:val="28"/>
        </w:rPr>
        <w:t xml:space="preserve"> в ТИК, </w:t>
      </w:r>
      <w:r>
        <w:rPr>
          <w:rFonts w:ascii="Times New Roman" w:hAnsi="Times New Roman"/>
          <w:sz w:val="28"/>
        </w:rPr>
        <w:t xml:space="preserve">по вопросам </w:t>
      </w:r>
      <w:r>
        <w:rPr>
          <w:rFonts w:ascii="Times New Roman" w:hAnsi="Times New Roman"/>
          <w:sz w:val="28"/>
        </w:rPr>
        <w:t xml:space="preserve">соблюдения </w:t>
      </w:r>
      <w:r>
        <w:rPr>
          <w:rFonts w:ascii="Times New Roman" w:hAnsi="Times New Roman"/>
          <w:sz w:val="28"/>
        </w:rPr>
        <w:t xml:space="preserve">установленного порядка информирования избирателей, </w:t>
      </w:r>
      <w:r>
        <w:rPr>
          <w:rFonts w:ascii="Times New Roman" w:hAnsi="Times New Roman"/>
          <w:sz w:val="28"/>
        </w:rPr>
        <w:t>законности проведения предвыборной агитаци</w:t>
      </w:r>
      <w:r>
        <w:rPr>
          <w:rFonts w:ascii="Times New Roman" w:hAnsi="Times New Roman"/>
          <w:sz w:val="28"/>
        </w:rPr>
        <w:t>и на соответствующей территории</w:t>
      </w:r>
      <w:r>
        <w:rPr>
          <w:rFonts w:ascii="Times New Roman" w:hAnsi="Times New Roman"/>
          <w:sz w:val="28"/>
        </w:rPr>
        <w:t xml:space="preserve"> (при необходимости)</w:t>
      </w:r>
      <w:r>
        <w:rPr>
          <w:rFonts w:ascii="Times New Roman" w:hAnsi="Times New Roman"/>
          <w:sz w:val="28"/>
        </w:rPr>
        <w:t>.</w:t>
      </w:r>
    </w:p>
    <w:p w14:paraId="4D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2.1.8.</w:t>
      </w:r>
      <w:r>
        <w:rPr>
          <w:rFonts w:ascii="Times New Roman" w:hAnsi="Times New Roman"/>
          <w:sz w:val="28"/>
        </w:rPr>
        <w:t> П</w:t>
      </w:r>
      <w:r>
        <w:rPr>
          <w:rFonts w:ascii="Times New Roman" w:hAnsi="Times New Roman"/>
          <w:sz w:val="28"/>
        </w:rPr>
        <w:t>редст</w:t>
      </w:r>
      <w:r>
        <w:rPr>
          <w:rFonts w:ascii="Times New Roman" w:hAnsi="Times New Roman"/>
          <w:sz w:val="28"/>
        </w:rPr>
        <w:t>авление в контрольно-ревизионный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отдел</w:t>
      </w:r>
      <w:r>
        <w:rPr>
          <w:rFonts w:ascii="Times New Roman" w:hAnsi="Times New Roman"/>
          <w:sz w:val="28"/>
        </w:rPr>
        <w:t xml:space="preserve"> Избирательной комиссии Ростовской области копий </w:t>
      </w:r>
      <w:r>
        <w:rPr>
          <w:rFonts w:ascii="Times New Roman" w:hAnsi="Times New Roman"/>
          <w:sz w:val="28"/>
        </w:rPr>
        <w:t>материалов</w:t>
      </w:r>
      <w:r>
        <w:rPr>
          <w:rFonts w:ascii="Times New Roman" w:hAnsi="Times New Roman"/>
          <w:sz w:val="28"/>
        </w:rPr>
        <w:t xml:space="preserve"> по рассматриваемым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на местах жалобам, заявлениям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и</w:t>
      </w:r>
      <w:r>
        <w:rPr>
          <w:rFonts w:ascii="Times New Roman" w:hAnsi="Times New Roman"/>
          <w:sz w:val="28"/>
        </w:rPr>
        <w:t>ным обращениям, касающим</w:t>
      </w:r>
      <w:r>
        <w:rPr>
          <w:rFonts w:ascii="Times New Roman" w:hAnsi="Times New Roman"/>
          <w:sz w:val="28"/>
        </w:rPr>
        <w:t xml:space="preserve">ся соблюдения </w:t>
      </w:r>
      <w:r>
        <w:rPr>
          <w:rFonts w:ascii="Times New Roman" w:hAnsi="Times New Roman"/>
          <w:sz w:val="28"/>
        </w:rPr>
        <w:t xml:space="preserve">установленного </w:t>
      </w:r>
      <w:r>
        <w:rPr>
          <w:rFonts w:ascii="Times New Roman" w:hAnsi="Times New Roman"/>
          <w:sz w:val="28"/>
        </w:rPr>
        <w:t xml:space="preserve">порядка </w:t>
      </w:r>
      <w:r>
        <w:rPr>
          <w:rFonts w:ascii="Times New Roman" w:hAnsi="Times New Roman"/>
          <w:sz w:val="28"/>
        </w:rPr>
        <w:t xml:space="preserve">информирования избирателей, </w:t>
      </w:r>
      <w:r>
        <w:rPr>
          <w:rFonts w:ascii="Times New Roman" w:hAnsi="Times New Roman"/>
          <w:sz w:val="28"/>
        </w:rPr>
        <w:t>п</w:t>
      </w:r>
      <w:r>
        <w:rPr>
          <w:rFonts w:ascii="Times New Roman" w:hAnsi="Times New Roman"/>
          <w:sz w:val="28"/>
        </w:rPr>
        <w:t>роведения предвыборной агитации.</w:t>
      </w:r>
    </w:p>
    <w:p w14:paraId="4E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2.1.</w:t>
      </w:r>
      <w:r>
        <w:rPr>
          <w:rFonts w:ascii="Times New Roman" w:hAnsi="Times New Roman"/>
          <w:sz w:val="28"/>
        </w:rPr>
        <w:t>9</w:t>
      </w:r>
      <w:r>
        <w:rPr>
          <w:rFonts w:ascii="Times New Roman" w:hAnsi="Times New Roman"/>
          <w:sz w:val="28"/>
        </w:rPr>
        <w:t>. </w:t>
      </w:r>
      <w:r>
        <w:rPr>
          <w:rFonts w:ascii="Times New Roman" w:hAnsi="Times New Roman"/>
          <w:sz w:val="28"/>
        </w:rPr>
        <w:t>Подготовка и направление ответов на обращения, рассмотренные на заседаниях Рабочей группы, представлений (писем) о пресечении противоправной агитационной деятельности и привлечении виновных лиц к ответственности, установленной законодательством Российской Федерации. Подготовленные ответы, представления (письма) направляются за подписью руководителя Рабочей группы (председательствующего на заседании Рабочей группы).</w:t>
      </w:r>
    </w:p>
    <w:p w14:paraId="4F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2.1.10</w:t>
      </w:r>
      <w:r>
        <w:rPr>
          <w:rFonts w:ascii="Times New Roman" w:hAnsi="Times New Roman"/>
          <w:sz w:val="28"/>
        </w:rPr>
        <w:t>. У</w:t>
      </w:r>
      <w:r>
        <w:rPr>
          <w:rFonts w:ascii="Times New Roman" w:hAnsi="Times New Roman"/>
          <w:sz w:val="28"/>
        </w:rPr>
        <w:t>ведомление контрольно-ревизионного отдела</w:t>
      </w:r>
      <w:r>
        <w:rPr>
          <w:rFonts w:ascii="Times New Roman" w:hAnsi="Times New Roman"/>
          <w:sz w:val="28"/>
        </w:rPr>
        <w:t xml:space="preserve"> Избирательной комиссии Ростовской области о мерах реагирования на нарушения избирательного законодательства, допущенные при </w:t>
      </w:r>
      <w:r>
        <w:rPr>
          <w:rFonts w:ascii="Times New Roman" w:hAnsi="Times New Roman"/>
          <w:sz w:val="28"/>
        </w:rPr>
        <w:t xml:space="preserve">информировании избирателей, </w:t>
      </w:r>
      <w:r>
        <w:rPr>
          <w:rFonts w:ascii="Times New Roman" w:hAnsi="Times New Roman"/>
          <w:sz w:val="28"/>
        </w:rPr>
        <w:t>проведении предвыборной агитации</w:t>
      </w:r>
      <w:r>
        <w:rPr>
          <w:rFonts w:ascii="Times New Roman" w:hAnsi="Times New Roman"/>
          <w:sz w:val="28"/>
        </w:rPr>
        <w:t>.</w:t>
      </w:r>
    </w:p>
    <w:p w14:paraId="50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2.1.1</w:t>
      </w:r>
      <w:r>
        <w:rPr>
          <w:rFonts w:ascii="Times New Roman" w:hAnsi="Times New Roman"/>
          <w:sz w:val="28"/>
        </w:rPr>
        <w:t>1</w:t>
      </w:r>
      <w:r>
        <w:rPr>
          <w:rFonts w:ascii="Times New Roman" w:hAnsi="Times New Roman"/>
          <w:sz w:val="28"/>
        </w:rPr>
        <w:t>. Ра</w:t>
      </w:r>
      <w:r>
        <w:rPr>
          <w:rFonts w:ascii="Times New Roman" w:hAnsi="Times New Roman"/>
          <w:sz w:val="28"/>
        </w:rPr>
        <w:t>ссмотрение во взаимодействии с к</w:t>
      </w:r>
      <w:r>
        <w:rPr>
          <w:rFonts w:ascii="Times New Roman" w:hAnsi="Times New Roman"/>
          <w:sz w:val="28"/>
        </w:rPr>
        <w:t>онтрольно-ревизионн</w:t>
      </w:r>
      <w:r>
        <w:rPr>
          <w:rFonts w:ascii="Times New Roman" w:hAnsi="Times New Roman"/>
          <w:sz w:val="28"/>
        </w:rPr>
        <w:t>ым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отделом</w:t>
      </w:r>
      <w:r>
        <w:rPr>
          <w:rFonts w:ascii="Times New Roman" w:hAnsi="Times New Roman"/>
          <w:sz w:val="28"/>
        </w:rPr>
        <w:t xml:space="preserve"> Избирательной комиссии Ростовской области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жалоб, заявлений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 xml:space="preserve"> иных</w:t>
      </w:r>
      <w:r>
        <w:rPr>
          <w:rFonts w:ascii="Times New Roman" w:hAnsi="Times New Roman"/>
          <w:sz w:val="28"/>
        </w:rPr>
        <w:t xml:space="preserve"> обращений</w:t>
      </w:r>
      <w:r>
        <w:rPr>
          <w:rFonts w:ascii="Times New Roman" w:hAnsi="Times New Roman"/>
          <w:sz w:val="28"/>
        </w:rPr>
        <w:t xml:space="preserve"> по вопросам </w:t>
      </w:r>
      <w:r>
        <w:rPr>
          <w:rFonts w:ascii="Times New Roman" w:hAnsi="Times New Roman"/>
          <w:sz w:val="28"/>
        </w:rPr>
        <w:t>соблюдения установленного порядка информирования избирателей,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проведения предвыборной агитации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на соответствующей территории, </w:t>
      </w:r>
      <w:r>
        <w:rPr>
          <w:rFonts w:ascii="Times New Roman" w:hAnsi="Times New Roman"/>
          <w:sz w:val="28"/>
        </w:rPr>
        <w:t>поступающих в Избирательн</w:t>
      </w:r>
      <w:r>
        <w:rPr>
          <w:rFonts w:ascii="Times New Roman" w:hAnsi="Times New Roman"/>
          <w:sz w:val="28"/>
        </w:rPr>
        <w:t>ую комиссию Ростовской области.</w:t>
      </w:r>
    </w:p>
    <w:p w14:paraId="51000000">
      <w:pPr>
        <w:widowControl w:val="1"/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2.1.12.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Контроль за</w:t>
      </w:r>
      <w:r>
        <w:rPr>
          <w:rFonts w:ascii="Times New Roman" w:hAnsi="Times New Roman"/>
          <w:sz w:val="28"/>
        </w:rPr>
        <w:t xml:space="preserve"> выделением органами местного самоуправления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по предложению </w:t>
      </w:r>
      <w:r>
        <w:rPr>
          <w:rFonts w:ascii="Times New Roman" w:hAnsi="Times New Roman"/>
          <w:sz w:val="28"/>
        </w:rPr>
        <w:t>ТИК</w:t>
      </w:r>
      <w:r>
        <w:rPr>
          <w:rFonts w:ascii="Times New Roman" w:hAnsi="Times New Roman"/>
          <w:sz w:val="28"/>
        </w:rPr>
        <w:t xml:space="preserve"> специальных мест для размещения печатных агитационных материалов на территории каждого избирательного участка</w:t>
      </w:r>
      <w:r>
        <w:rPr>
          <w:rFonts w:ascii="Times New Roman" w:hAnsi="Times New Roman"/>
          <w:sz w:val="28"/>
        </w:rPr>
        <w:t>, п</w:t>
      </w:r>
      <w:r>
        <w:rPr>
          <w:rFonts w:ascii="Times New Roman" w:hAnsi="Times New Roman"/>
          <w:sz w:val="28"/>
        </w:rPr>
        <w:t>одготовка перечня специальных мест для доведения до сведения кандидатов</w:t>
      </w:r>
      <w:r>
        <w:rPr>
          <w:rFonts w:ascii="Times New Roman" w:hAnsi="Times New Roman"/>
          <w:sz w:val="28"/>
        </w:rPr>
        <w:t>, политических партий</w:t>
      </w:r>
      <w:r>
        <w:rPr>
          <w:rFonts w:ascii="Times New Roman" w:hAnsi="Times New Roman"/>
          <w:sz w:val="28"/>
        </w:rPr>
        <w:t xml:space="preserve">. </w:t>
      </w:r>
    </w:p>
    <w:p w14:paraId="52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53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54000000">
      <w:pPr>
        <w:widowControl w:val="1"/>
        <w:spacing w:after="0" w:line="240" w:lineRule="auto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>
        <w:rPr>
          <w:rFonts w:ascii="Times New Roman" w:hAnsi="Times New Roman"/>
          <w:sz w:val="28"/>
        </w:rPr>
        <w:t>. </w:t>
      </w:r>
      <w:r>
        <w:rPr>
          <w:rFonts w:ascii="Times New Roman" w:hAnsi="Times New Roman"/>
          <w:sz w:val="28"/>
        </w:rPr>
        <w:t>Порядок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проведения заседаний</w:t>
      </w:r>
      <w:r>
        <w:rPr>
          <w:rFonts w:ascii="Times New Roman" w:hAnsi="Times New Roman"/>
          <w:sz w:val="28"/>
        </w:rPr>
        <w:t xml:space="preserve"> Рабочей группы</w:t>
      </w:r>
    </w:p>
    <w:p w14:paraId="55000000">
      <w:pPr>
        <w:widowControl w:val="1"/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</w:p>
    <w:p w14:paraId="56000000">
      <w:pPr>
        <w:widowControl w:val="1"/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1</w:t>
      </w:r>
      <w:r>
        <w:rPr>
          <w:rFonts w:ascii="Times New Roman" w:hAnsi="Times New Roman"/>
          <w:sz w:val="28"/>
        </w:rPr>
        <w:t>. </w:t>
      </w:r>
      <w:r>
        <w:rPr>
          <w:rFonts w:ascii="Times New Roman" w:hAnsi="Times New Roman"/>
          <w:sz w:val="28"/>
        </w:rPr>
        <w:t xml:space="preserve">Заседание Рабочей группы созывает руководитель Рабочей группы (в случае его отсутствия – заместитель </w:t>
      </w:r>
      <w:r>
        <w:rPr>
          <w:rFonts w:ascii="Times New Roman" w:hAnsi="Times New Roman"/>
          <w:sz w:val="28"/>
        </w:rPr>
        <w:t>р</w:t>
      </w:r>
      <w:r>
        <w:rPr>
          <w:rFonts w:ascii="Times New Roman" w:hAnsi="Times New Roman"/>
          <w:sz w:val="28"/>
        </w:rPr>
        <w:t>уководителя Рабочей группы</w:t>
      </w:r>
      <w:r>
        <w:rPr>
          <w:rFonts w:ascii="Times New Roman" w:hAnsi="Times New Roman"/>
          <w:sz w:val="28"/>
        </w:rPr>
        <w:t>). Заседание Рабочей группы созывается по мере необходимости.</w:t>
      </w:r>
    </w:p>
    <w:p w14:paraId="57000000">
      <w:pPr>
        <w:widowControl w:val="1"/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>
        <w:rPr>
          <w:rFonts w:ascii="Times New Roman" w:hAnsi="Times New Roman"/>
          <w:sz w:val="28"/>
        </w:rPr>
        <w:t>.2</w:t>
      </w:r>
      <w:r>
        <w:rPr>
          <w:rFonts w:ascii="Times New Roman" w:hAnsi="Times New Roman"/>
          <w:sz w:val="28"/>
        </w:rPr>
        <w:t>. </w:t>
      </w:r>
      <w:r>
        <w:rPr>
          <w:rFonts w:ascii="Times New Roman" w:hAnsi="Times New Roman"/>
          <w:sz w:val="28"/>
        </w:rPr>
        <w:t>Рассмотрение вопросов на заседаниях</w:t>
      </w:r>
      <w:r>
        <w:rPr>
          <w:rFonts w:ascii="Times New Roman" w:hAnsi="Times New Roman"/>
          <w:sz w:val="28"/>
        </w:rPr>
        <w:t xml:space="preserve"> Рабочей групп</w:t>
      </w:r>
      <w:r>
        <w:rPr>
          <w:rFonts w:ascii="Times New Roman" w:hAnsi="Times New Roman"/>
          <w:sz w:val="28"/>
        </w:rPr>
        <w:t xml:space="preserve">ы осуществляется коллегиально, </w:t>
      </w:r>
      <w:r>
        <w:rPr>
          <w:rFonts w:ascii="Times New Roman" w:hAnsi="Times New Roman"/>
          <w:sz w:val="28"/>
        </w:rPr>
        <w:t xml:space="preserve">на основе открытого </w:t>
      </w:r>
      <w:r>
        <w:rPr>
          <w:rFonts w:ascii="Times New Roman" w:hAnsi="Times New Roman"/>
          <w:sz w:val="28"/>
        </w:rPr>
        <w:t xml:space="preserve">их обсуждения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и основывается на принципах объективности, достоверности, оперативности.</w:t>
      </w:r>
    </w:p>
    <w:p w14:paraId="58000000">
      <w:pPr>
        <w:widowControl w:val="1"/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3</w:t>
      </w:r>
      <w:r>
        <w:rPr>
          <w:rFonts w:ascii="Times New Roman" w:hAnsi="Times New Roman"/>
          <w:sz w:val="28"/>
        </w:rPr>
        <w:t>. Заседание Рабочей группы является правомочным, если на нем присутствует более половины от установленного числа членов Рабочей группы.</w:t>
      </w:r>
    </w:p>
    <w:p w14:paraId="59000000">
      <w:pPr>
        <w:widowControl w:val="1"/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4</w:t>
      </w:r>
      <w:r>
        <w:rPr>
          <w:rFonts w:ascii="Times New Roman" w:hAnsi="Times New Roman"/>
          <w:sz w:val="28"/>
        </w:rPr>
        <w:t>. В случае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если член Рабочей группы не имеет возможности присутствовать на заседании Рабочей группы, он обязан заблаговременно известить об этом руководителя</w:t>
      </w:r>
      <w:r>
        <w:rPr>
          <w:rFonts w:ascii="Times New Roman" w:hAnsi="Times New Roman"/>
          <w:sz w:val="28"/>
        </w:rPr>
        <w:t xml:space="preserve"> Рабочей группы с указанием причины.</w:t>
      </w:r>
    </w:p>
    <w:p w14:paraId="5A000000">
      <w:pPr>
        <w:widowControl w:val="1"/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>. </w:t>
      </w:r>
      <w:r>
        <w:rPr>
          <w:rFonts w:ascii="Times New Roman" w:hAnsi="Times New Roman"/>
          <w:sz w:val="28"/>
        </w:rPr>
        <w:t xml:space="preserve">Члены Рабочей группы вправе высказывать мнения, задавать вопросы, касающиеся </w:t>
      </w:r>
      <w:r>
        <w:rPr>
          <w:rFonts w:ascii="Times New Roman" w:hAnsi="Times New Roman"/>
          <w:sz w:val="28"/>
        </w:rPr>
        <w:t>предмета рассмотрения</w:t>
      </w:r>
      <w:r>
        <w:rPr>
          <w:rFonts w:ascii="Times New Roman" w:hAnsi="Times New Roman"/>
          <w:sz w:val="28"/>
        </w:rPr>
        <w:t xml:space="preserve">, вносить предложения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по вопросам, отнесенным к компетенции Рабочей группы, предлагать проведение по ним голосования.</w:t>
      </w:r>
    </w:p>
    <w:p w14:paraId="5B000000">
      <w:pPr>
        <w:widowControl w:val="1"/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>. </w:t>
      </w:r>
      <w:r>
        <w:rPr>
          <w:rFonts w:ascii="Times New Roman" w:hAnsi="Times New Roman"/>
          <w:sz w:val="28"/>
        </w:rPr>
        <w:t xml:space="preserve">В случае необходимости руководитель Рабочей группы приглашает на заседание специалистов или экспертов для дачи пояснений и заключений по вопросам, возникающим в процессе </w:t>
      </w:r>
      <w:r>
        <w:rPr>
          <w:rFonts w:ascii="Times New Roman" w:hAnsi="Times New Roman"/>
          <w:sz w:val="28"/>
        </w:rPr>
        <w:t>рассмотрения вопроса.</w:t>
      </w:r>
    </w:p>
    <w:p w14:paraId="5C000000">
      <w:pPr>
        <w:widowControl w:val="1"/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Мнения специалистов и экспертов принимаются Рабочей группой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к сведению, но не являются обязательными для вынесения окончательного </w:t>
      </w:r>
      <w:r>
        <w:rPr>
          <w:rFonts w:ascii="Times New Roman" w:hAnsi="Times New Roman"/>
          <w:sz w:val="28"/>
        </w:rPr>
        <w:t>решения</w:t>
      </w:r>
      <w:r>
        <w:rPr>
          <w:rFonts w:ascii="Times New Roman" w:hAnsi="Times New Roman"/>
          <w:sz w:val="28"/>
        </w:rPr>
        <w:t>.</w:t>
      </w:r>
    </w:p>
    <w:p w14:paraId="5D000000">
      <w:pPr>
        <w:widowControl w:val="1"/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>
        <w:rPr>
          <w:rFonts w:ascii="Times New Roman" w:hAnsi="Times New Roman"/>
          <w:sz w:val="28"/>
        </w:rPr>
        <w:t>.7</w:t>
      </w:r>
      <w:r>
        <w:rPr>
          <w:rFonts w:ascii="Times New Roman" w:hAnsi="Times New Roman"/>
          <w:sz w:val="28"/>
        </w:rPr>
        <w:t>. </w:t>
      </w:r>
      <w:r>
        <w:rPr>
          <w:rFonts w:ascii="Times New Roman" w:hAnsi="Times New Roman"/>
          <w:sz w:val="28"/>
        </w:rPr>
        <w:t xml:space="preserve">В заседании Рабочей группы вправе принимать участие заявители, лица, чьи (чье) действия (бездействие) явились (явилось) основанием для вынесения вопроса на рассмотрение Рабочей группы, а также лица, уполномоченные представлять их интересы, и иные заинтересованные лица. Полномочия представителя заявителя и иных заинтересованных лиц должны быть оформлены в установленном законом порядке. Для рассмотрения выносимых на заседание Рабочей группы вопросов могут приглашаться </w:t>
      </w:r>
      <w:r>
        <w:rPr>
          <w:rFonts w:ascii="Times New Roman" w:hAnsi="Times New Roman"/>
          <w:sz w:val="28"/>
        </w:rPr>
        <w:t>доверенные лица кандидатов,</w:t>
      </w:r>
      <w:r>
        <w:rPr>
          <w:rFonts w:ascii="Times New Roman" w:hAnsi="Times New Roman"/>
          <w:sz w:val="28"/>
        </w:rPr>
        <w:t xml:space="preserve"> политической партии,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представители избирательных комиссий, организаций, осуществляющих выпуск средств массовой информации, органов местного самоуправления, специалисты, эксперты и иные лица. Список </w:t>
      </w:r>
      <w:r>
        <w:rPr>
          <w:rFonts w:ascii="Times New Roman" w:hAnsi="Times New Roman"/>
          <w:sz w:val="28"/>
        </w:rPr>
        <w:t>приглашенных</w:t>
      </w:r>
      <w:r>
        <w:rPr>
          <w:rFonts w:ascii="Times New Roman" w:hAnsi="Times New Roman"/>
          <w:sz w:val="28"/>
        </w:rPr>
        <w:t xml:space="preserve"> лиц составляется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и подписывается руководителем Рабочей группы либо его заместителем накануне очередного заседания.</w:t>
      </w:r>
    </w:p>
    <w:p w14:paraId="5E000000">
      <w:pPr>
        <w:widowControl w:val="1"/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>
        <w:rPr>
          <w:rFonts w:ascii="Times New Roman" w:hAnsi="Times New Roman"/>
          <w:sz w:val="28"/>
        </w:rPr>
        <w:t>.8</w:t>
      </w:r>
      <w:r>
        <w:rPr>
          <w:rFonts w:ascii="Times New Roman" w:hAnsi="Times New Roman"/>
          <w:sz w:val="28"/>
        </w:rPr>
        <w:t>. </w:t>
      </w:r>
      <w:r>
        <w:rPr>
          <w:rFonts w:ascii="Times New Roman" w:hAnsi="Times New Roman"/>
          <w:sz w:val="28"/>
        </w:rPr>
        <w:t xml:space="preserve">Руководитель Рабочей группы дает поручения, касающиеся подготовки материалов к заседанию Рабочей группы, оповещения ее членов и приглашенных лиц о времени и месте заседания Рабочей группы, организует делопроизводство в Рабочей группе, председательствует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на ее заседаниях.</w:t>
      </w:r>
      <w:r>
        <w:rPr>
          <w:rFonts w:ascii="Times New Roman" w:hAnsi="Times New Roman"/>
          <w:sz w:val="28"/>
        </w:rPr>
        <w:t xml:space="preserve"> В случае отсутствия руководителя Рабочей группы его обязанности исполняет заместитель руководителя </w:t>
      </w:r>
      <w:r>
        <w:rPr>
          <w:rFonts w:ascii="Times New Roman" w:hAnsi="Times New Roman"/>
          <w:sz w:val="28"/>
        </w:rPr>
        <w:t>Рабочей группы</w:t>
      </w:r>
      <w:r>
        <w:rPr>
          <w:rFonts w:ascii="Times New Roman" w:hAnsi="Times New Roman"/>
          <w:sz w:val="28"/>
        </w:rPr>
        <w:t>.</w:t>
      </w:r>
    </w:p>
    <w:p w14:paraId="5F000000">
      <w:pPr>
        <w:widowControl w:val="1"/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>
        <w:rPr>
          <w:rFonts w:ascii="Times New Roman" w:hAnsi="Times New Roman"/>
          <w:sz w:val="28"/>
        </w:rPr>
        <w:t>.9</w:t>
      </w:r>
      <w:r>
        <w:rPr>
          <w:rFonts w:ascii="Times New Roman" w:hAnsi="Times New Roman"/>
          <w:sz w:val="28"/>
        </w:rPr>
        <w:t>. </w:t>
      </w:r>
      <w:r>
        <w:rPr>
          <w:rFonts w:ascii="Times New Roman" w:hAnsi="Times New Roman"/>
          <w:sz w:val="28"/>
        </w:rPr>
        <w:t xml:space="preserve">Продолжительность выступлений на заседаниях Рабочей группы устанавливается председательствующим по согласованию с докладчиками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и содокладчиками и не должна превышать: для доклада – десяти минут, содоклада – пяти минут, иных выступлений – трех минут, для справок, оглашения информации, обращений – двух минут, заключительного слова докладчика – трех минут.</w:t>
      </w:r>
    </w:p>
    <w:p w14:paraId="60000000">
      <w:pPr>
        <w:widowControl w:val="1"/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>
        <w:rPr>
          <w:rFonts w:ascii="Times New Roman" w:hAnsi="Times New Roman"/>
          <w:sz w:val="28"/>
        </w:rPr>
        <w:t>.1</w:t>
      </w:r>
      <w:r>
        <w:rPr>
          <w:rFonts w:ascii="Times New Roman" w:hAnsi="Times New Roman"/>
          <w:sz w:val="28"/>
        </w:rPr>
        <w:t>0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</w:rPr>
        <w:t xml:space="preserve">Поступившие в </w:t>
      </w:r>
      <w:r>
        <w:rPr>
          <w:rFonts w:ascii="Times New Roman" w:hAnsi="Times New Roman"/>
          <w:sz w:val="28"/>
        </w:rPr>
        <w:t>ТИК</w:t>
      </w:r>
      <w:r>
        <w:rPr>
          <w:rFonts w:ascii="Times New Roman" w:hAnsi="Times New Roman"/>
          <w:sz w:val="28"/>
        </w:rPr>
        <w:t xml:space="preserve"> обращения и иные документы рассматриваются на заседаниях Рабочей группы по поручению председателя</w:t>
      </w:r>
      <w:r>
        <w:rPr>
          <w:rFonts w:ascii="Times New Roman" w:hAnsi="Times New Roman"/>
          <w:sz w:val="28"/>
        </w:rPr>
        <w:t xml:space="preserve"> ТИК</w:t>
      </w:r>
      <w:r>
        <w:rPr>
          <w:rFonts w:ascii="Times New Roman" w:hAnsi="Times New Roman"/>
          <w:sz w:val="28"/>
        </w:rPr>
        <w:t xml:space="preserve">, а в его отсутствие – заместителя председателя </w:t>
      </w:r>
      <w:r>
        <w:rPr>
          <w:rFonts w:ascii="Times New Roman" w:hAnsi="Times New Roman"/>
          <w:sz w:val="28"/>
        </w:rPr>
        <w:t>ТИК</w:t>
      </w:r>
      <w:r>
        <w:rPr>
          <w:rFonts w:ascii="Times New Roman" w:hAnsi="Times New Roman"/>
          <w:sz w:val="28"/>
        </w:rPr>
        <w:t xml:space="preserve">, секретаря </w:t>
      </w:r>
      <w:r>
        <w:rPr>
          <w:rFonts w:ascii="Times New Roman" w:hAnsi="Times New Roman"/>
          <w:sz w:val="28"/>
        </w:rPr>
        <w:t>ТИК</w:t>
      </w:r>
      <w:r>
        <w:rPr>
          <w:rFonts w:ascii="Times New Roman" w:hAnsi="Times New Roman"/>
          <w:sz w:val="28"/>
        </w:rPr>
        <w:t>.</w:t>
      </w:r>
    </w:p>
    <w:p w14:paraId="61000000">
      <w:pPr>
        <w:widowControl w:val="1"/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Подготовка к заседаниям Рабочей группы ведется в соответствии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с поручениями руководителя Рабоч</w:t>
      </w:r>
      <w:r>
        <w:rPr>
          <w:rFonts w:ascii="Times New Roman" w:hAnsi="Times New Roman"/>
          <w:sz w:val="28"/>
        </w:rPr>
        <w:t>ей группы членом Р</w:t>
      </w:r>
      <w:r>
        <w:rPr>
          <w:rFonts w:ascii="Times New Roman" w:hAnsi="Times New Roman"/>
          <w:sz w:val="28"/>
        </w:rPr>
        <w:t xml:space="preserve">абочей группы, ответственным за подготовку конкретного вопроса, а также другими членами Рабочей группы, </w:t>
      </w:r>
      <w:r>
        <w:rPr>
          <w:rFonts w:ascii="Times New Roman" w:hAnsi="Times New Roman"/>
          <w:sz w:val="28"/>
        </w:rPr>
        <w:t>членами ТИК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 xml:space="preserve">членами </w:t>
      </w:r>
      <w:r>
        <w:rPr>
          <w:rFonts w:ascii="Times New Roman" w:hAnsi="Times New Roman"/>
          <w:sz w:val="28"/>
        </w:rPr>
        <w:t>соответствующи</w:t>
      </w:r>
      <w:r>
        <w:rPr>
          <w:rFonts w:ascii="Times New Roman" w:hAnsi="Times New Roman"/>
          <w:sz w:val="28"/>
        </w:rPr>
        <w:t>х участковых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избирательны</w:t>
      </w:r>
      <w:r>
        <w:rPr>
          <w:rFonts w:ascii="Times New Roman" w:hAnsi="Times New Roman"/>
          <w:sz w:val="28"/>
        </w:rPr>
        <w:t>х</w:t>
      </w:r>
      <w:r>
        <w:rPr>
          <w:rFonts w:ascii="Times New Roman" w:hAnsi="Times New Roman"/>
          <w:sz w:val="28"/>
        </w:rPr>
        <w:t xml:space="preserve"> комисси</w:t>
      </w:r>
      <w:r>
        <w:rPr>
          <w:rFonts w:ascii="Times New Roman" w:hAnsi="Times New Roman"/>
          <w:sz w:val="28"/>
        </w:rPr>
        <w:t>й</w:t>
      </w:r>
      <w:r>
        <w:rPr>
          <w:rFonts w:ascii="Times New Roman" w:hAnsi="Times New Roman"/>
          <w:sz w:val="28"/>
        </w:rPr>
        <w:t>, а также привлекаемыми специалистами</w:t>
      </w:r>
      <w:r>
        <w:rPr>
          <w:rFonts w:ascii="Times New Roman" w:hAnsi="Times New Roman"/>
          <w:sz w:val="28"/>
        </w:rPr>
        <w:t xml:space="preserve"> или экспертами</w:t>
      </w:r>
      <w:r>
        <w:rPr>
          <w:rFonts w:ascii="Times New Roman" w:hAnsi="Times New Roman"/>
          <w:sz w:val="28"/>
        </w:rPr>
        <w:t xml:space="preserve">. К заседанию Рабочей группы готовятся документы, необходимые для рассмотрения </w:t>
      </w:r>
      <w:r>
        <w:rPr>
          <w:rFonts w:ascii="Times New Roman" w:hAnsi="Times New Roman"/>
          <w:sz w:val="28"/>
        </w:rPr>
        <w:t>вопроса</w:t>
      </w:r>
      <w:r>
        <w:rPr>
          <w:rFonts w:ascii="Times New Roman" w:hAnsi="Times New Roman"/>
          <w:sz w:val="28"/>
        </w:rPr>
        <w:t xml:space="preserve">, проект решения Рабочей группы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по рассматриваемому </w:t>
      </w:r>
      <w:r>
        <w:rPr>
          <w:rFonts w:ascii="Times New Roman" w:hAnsi="Times New Roman"/>
          <w:sz w:val="28"/>
        </w:rPr>
        <w:t>вопросу</w:t>
      </w:r>
      <w:r>
        <w:rPr>
          <w:rFonts w:ascii="Times New Roman" w:hAnsi="Times New Roman"/>
          <w:sz w:val="28"/>
        </w:rPr>
        <w:t>, а в необходимых случаях – заключения специалистов.</w:t>
      </w:r>
    </w:p>
    <w:p w14:paraId="62000000">
      <w:pPr>
        <w:widowControl w:val="1"/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>
        <w:rPr>
          <w:rFonts w:ascii="Times New Roman" w:hAnsi="Times New Roman"/>
          <w:sz w:val="28"/>
        </w:rPr>
        <w:t>.11</w:t>
      </w:r>
      <w:r>
        <w:rPr>
          <w:rFonts w:ascii="Times New Roman" w:hAnsi="Times New Roman"/>
          <w:sz w:val="28"/>
        </w:rPr>
        <w:t>. </w:t>
      </w:r>
      <w:r>
        <w:rPr>
          <w:rFonts w:ascii="Times New Roman" w:hAnsi="Times New Roman"/>
          <w:sz w:val="28"/>
        </w:rPr>
        <w:t>Срок рассмотрения обращений, поступающих в Рабочую группу, определяется в</w:t>
      </w:r>
      <w:r>
        <w:rPr>
          <w:rFonts w:ascii="Times New Roman" w:hAnsi="Times New Roman"/>
          <w:sz w:val="28"/>
        </w:rPr>
        <w:t xml:space="preserve"> соответствии с законодательством</w:t>
      </w:r>
      <w:r>
        <w:rPr>
          <w:rFonts w:ascii="Times New Roman" w:hAnsi="Times New Roman"/>
          <w:sz w:val="28"/>
        </w:rPr>
        <w:t xml:space="preserve"> о выборах</w:t>
      </w:r>
      <w:r>
        <w:rPr>
          <w:rFonts w:ascii="Times New Roman" w:hAnsi="Times New Roman"/>
          <w:sz w:val="28"/>
        </w:rPr>
        <w:t>.</w:t>
      </w:r>
    </w:p>
    <w:p w14:paraId="63000000">
      <w:pPr>
        <w:widowControl w:val="1"/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>
        <w:rPr>
          <w:rFonts w:ascii="Times New Roman" w:hAnsi="Times New Roman"/>
          <w:sz w:val="28"/>
        </w:rPr>
        <w:t>.1</w:t>
      </w:r>
      <w:r>
        <w:rPr>
          <w:rFonts w:ascii="Times New Roman" w:hAnsi="Times New Roman"/>
          <w:sz w:val="28"/>
        </w:rPr>
        <w:t>2</w:t>
      </w:r>
      <w:r>
        <w:rPr>
          <w:rFonts w:ascii="Times New Roman" w:hAnsi="Times New Roman"/>
          <w:sz w:val="28"/>
        </w:rPr>
        <w:t>. </w:t>
      </w:r>
      <w:r>
        <w:rPr>
          <w:rFonts w:ascii="Times New Roman" w:hAnsi="Times New Roman"/>
          <w:sz w:val="28"/>
        </w:rPr>
        <w:t>На заседании Рабочей группы ведется протокол, а при необходимости – аудиозапись. Протокол заседания Рабочей группы ведет секретарь заседания, назначаемый председательствующим на заседании Рабочей группы из числ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 xml:space="preserve"> ее членов. В протоколе указываются: дата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и повестка дня заседания Рабочей группы, присутствующие на заседании (члены Рабочей группы, заинтересованные стороны или их представители, другие приглашенные на заседание, выступившие при обсуждении вопросов повестки дня), внесенные предложения, результаты голосования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по внесенным предложениям, а также итоговое решение Рабочей группы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и результаты голосования по этому решению. Протокол подписывают председательствующий на заседании Рабочей группы и секретарь</w:t>
      </w:r>
      <w:r>
        <w:rPr>
          <w:rFonts w:ascii="Times New Roman" w:hAnsi="Times New Roman"/>
          <w:sz w:val="28"/>
        </w:rPr>
        <w:t xml:space="preserve"> заседания</w:t>
      </w:r>
      <w:r>
        <w:rPr>
          <w:rFonts w:ascii="Times New Roman" w:hAnsi="Times New Roman"/>
          <w:sz w:val="28"/>
        </w:rPr>
        <w:t>.</w:t>
      </w:r>
    </w:p>
    <w:p w14:paraId="64000000">
      <w:pPr>
        <w:widowControl w:val="1"/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>
        <w:rPr>
          <w:rFonts w:ascii="Times New Roman" w:hAnsi="Times New Roman"/>
          <w:sz w:val="28"/>
        </w:rPr>
        <w:t>.1</w:t>
      </w:r>
      <w:r>
        <w:rPr>
          <w:rFonts w:ascii="Times New Roman" w:hAnsi="Times New Roman"/>
          <w:sz w:val="28"/>
        </w:rPr>
        <w:t>3</w:t>
      </w:r>
      <w:r>
        <w:rPr>
          <w:rFonts w:ascii="Times New Roman" w:hAnsi="Times New Roman"/>
          <w:sz w:val="28"/>
        </w:rPr>
        <w:t>. </w:t>
      </w:r>
      <w:r>
        <w:rPr>
          <w:rFonts w:ascii="Times New Roman" w:hAnsi="Times New Roman"/>
          <w:sz w:val="28"/>
        </w:rPr>
        <w:t>По результатам рассмотрения обращений</w:t>
      </w:r>
      <w:r>
        <w:rPr>
          <w:rFonts w:ascii="Times New Roman" w:hAnsi="Times New Roman"/>
          <w:sz w:val="28"/>
        </w:rPr>
        <w:t xml:space="preserve"> (иных вопросов)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на заседании </w:t>
      </w:r>
      <w:r>
        <w:rPr>
          <w:rFonts w:ascii="Times New Roman" w:hAnsi="Times New Roman"/>
          <w:sz w:val="28"/>
        </w:rPr>
        <w:t>Рабочей групп</w:t>
      </w:r>
      <w:r>
        <w:rPr>
          <w:rFonts w:ascii="Times New Roman" w:hAnsi="Times New Roman"/>
          <w:sz w:val="28"/>
        </w:rPr>
        <w:t>ы</w:t>
      </w:r>
      <w:r>
        <w:rPr>
          <w:rFonts w:ascii="Times New Roman" w:hAnsi="Times New Roman"/>
          <w:sz w:val="28"/>
        </w:rPr>
        <w:t xml:space="preserve"> принимается соответствующее решение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Рабочей группы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(о направлении ответа заявителю, об обращении</w:t>
      </w:r>
      <w:r>
        <w:t xml:space="preserve"> </w:t>
      </w:r>
      <w:r>
        <w:br/>
      </w:r>
      <w:r>
        <w:rPr>
          <w:rFonts w:ascii="Times New Roman" w:hAnsi="Times New Roman"/>
          <w:sz w:val="28"/>
        </w:rPr>
        <w:t xml:space="preserve">в правоохранительные органы, суд, федеральный орган по контролю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и надзору в сфере средств массовой информации, массовых коммуникаций, информационных технологий и связи с представлением о пресечении противоправной агитационной деятельности, об изъятии незаконных агитационных материалов и о привлечении организации телерадиовещания, редакции</w:t>
      </w:r>
      <w:r>
        <w:rPr>
          <w:rFonts w:ascii="Times New Roman" w:hAnsi="Times New Roman"/>
          <w:sz w:val="28"/>
        </w:rPr>
        <w:t xml:space="preserve"> периодического печатного издания, редакции сетевого издания,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их должностных лиц, а также иных лиц к ответственности в соответствии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с законодательс</w:t>
      </w:r>
      <w:r>
        <w:rPr>
          <w:rFonts w:ascii="Times New Roman" w:hAnsi="Times New Roman"/>
          <w:sz w:val="28"/>
        </w:rPr>
        <w:t>твом Российской Федерации</w:t>
      </w:r>
      <w:r>
        <w:rPr>
          <w:rFonts w:ascii="Times New Roman" w:hAnsi="Times New Roman"/>
          <w:sz w:val="28"/>
        </w:rPr>
        <w:t>, иное решение)</w:t>
      </w:r>
      <w:r>
        <w:rPr>
          <w:rFonts w:ascii="Times New Roman" w:hAnsi="Times New Roman"/>
          <w:sz w:val="28"/>
        </w:rPr>
        <w:t xml:space="preserve">, которое </w:t>
      </w:r>
      <w:r>
        <w:rPr>
          <w:rFonts w:ascii="Times New Roman" w:hAnsi="Times New Roman"/>
          <w:sz w:val="28"/>
        </w:rPr>
        <w:t xml:space="preserve">подписывается руководителем Рабочей группы </w:t>
      </w:r>
      <w:r>
        <w:rPr>
          <w:rFonts w:ascii="Times New Roman" w:hAnsi="Times New Roman"/>
          <w:sz w:val="28"/>
        </w:rPr>
        <w:t xml:space="preserve">(председательствующим на заседании Рабочей группы) </w:t>
      </w:r>
      <w:r>
        <w:rPr>
          <w:rFonts w:ascii="Times New Roman" w:hAnsi="Times New Roman"/>
          <w:sz w:val="28"/>
        </w:rPr>
        <w:t>и секретарем заседания.</w:t>
      </w:r>
    </w:p>
    <w:p w14:paraId="65000000">
      <w:pPr>
        <w:widowControl w:val="1"/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>
        <w:rPr>
          <w:rFonts w:ascii="Times New Roman" w:hAnsi="Times New Roman"/>
          <w:sz w:val="28"/>
        </w:rPr>
        <w:t>.1</w:t>
      </w:r>
      <w:r>
        <w:rPr>
          <w:rFonts w:ascii="Times New Roman" w:hAnsi="Times New Roman"/>
          <w:sz w:val="28"/>
        </w:rPr>
        <w:t>4</w:t>
      </w:r>
      <w:r>
        <w:rPr>
          <w:rFonts w:ascii="Times New Roman" w:hAnsi="Times New Roman"/>
          <w:sz w:val="28"/>
        </w:rPr>
        <w:t>. </w:t>
      </w:r>
      <w:r>
        <w:rPr>
          <w:rFonts w:ascii="Times New Roman" w:hAnsi="Times New Roman"/>
          <w:sz w:val="28"/>
        </w:rPr>
        <w:t xml:space="preserve">Решение Рабочей группы принимается большинством голосов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</w:t>
      </w:r>
      <w:r>
        <w:rPr>
          <w:rFonts w:ascii="Times New Roman" w:hAnsi="Times New Roman"/>
          <w:sz w:val="28"/>
        </w:rPr>
        <w:t>бочей группы является решающим.</w:t>
      </w:r>
    </w:p>
    <w:p w14:paraId="66000000">
      <w:pPr>
        <w:widowControl w:val="1"/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>
        <w:rPr>
          <w:rFonts w:ascii="Times New Roman" w:hAnsi="Times New Roman"/>
          <w:sz w:val="28"/>
        </w:rPr>
        <w:t>.1</w:t>
      </w:r>
      <w:r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>. </w:t>
      </w:r>
      <w:r>
        <w:rPr>
          <w:rFonts w:ascii="Times New Roman" w:hAnsi="Times New Roman"/>
          <w:sz w:val="28"/>
        </w:rPr>
        <w:t xml:space="preserve">В случаях, установленных законом, решение Рабочей группы, а при необходимости и соответствующий проект постановления </w:t>
      </w:r>
      <w:r>
        <w:rPr>
          <w:rFonts w:ascii="Times New Roman" w:hAnsi="Times New Roman"/>
          <w:sz w:val="28"/>
        </w:rPr>
        <w:t>ТИК</w:t>
      </w:r>
      <w:r>
        <w:rPr>
          <w:rFonts w:ascii="Times New Roman" w:hAnsi="Times New Roman"/>
          <w:sz w:val="28"/>
        </w:rPr>
        <w:t xml:space="preserve"> выносятся на заседание </w:t>
      </w:r>
      <w:r>
        <w:rPr>
          <w:rFonts w:ascii="Times New Roman" w:hAnsi="Times New Roman"/>
          <w:sz w:val="28"/>
        </w:rPr>
        <w:t>ТИК</w:t>
      </w:r>
      <w:r>
        <w:rPr>
          <w:rFonts w:ascii="Times New Roman" w:hAnsi="Times New Roman"/>
          <w:sz w:val="28"/>
        </w:rPr>
        <w:t xml:space="preserve"> в установленном порядке. С докладом по этому вопросу выступает руководитель Рабочей группы или иной член </w:t>
      </w:r>
      <w:r>
        <w:rPr>
          <w:rFonts w:ascii="Times New Roman" w:hAnsi="Times New Roman"/>
          <w:sz w:val="28"/>
        </w:rPr>
        <w:t>ТИК</w:t>
      </w:r>
      <w:r>
        <w:rPr>
          <w:rFonts w:ascii="Times New Roman" w:hAnsi="Times New Roman"/>
          <w:sz w:val="28"/>
        </w:rPr>
        <w:t xml:space="preserve"> с правом решающего голоса.</w:t>
      </w:r>
    </w:p>
    <w:p w14:paraId="67000000">
      <w:pPr>
        <w:widowControl w:val="1"/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>
        <w:rPr>
          <w:rFonts w:ascii="Times New Roman" w:hAnsi="Times New Roman"/>
          <w:sz w:val="28"/>
        </w:rPr>
        <w:t>.16</w:t>
      </w:r>
      <w:r>
        <w:rPr>
          <w:rFonts w:ascii="Times New Roman" w:hAnsi="Times New Roman"/>
          <w:sz w:val="28"/>
        </w:rPr>
        <w:t xml:space="preserve">. Протоколы, решения и другие документы, касающиеся деятельности Рабочей группы, </w:t>
      </w:r>
      <w:r>
        <w:rPr>
          <w:rFonts w:ascii="Times New Roman" w:hAnsi="Times New Roman"/>
          <w:sz w:val="28"/>
        </w:rPr>
        <w:t xml:space="preserve">подлежат хранению в порядке, установленном </w:t>
      </w:r>
      <w:r>
        <w:rPr>
          <w:rFonts w:ascii="Times New Roman" w:hAnsi="Times New Roman"/>
          <w:sz w:val="28"/>
        </w:rPr>
        <w:t>инструкцией по делопроизводству</w:t>
      </w:r>
      <w:r>
        <w:rPr>
          <w:rFonts w:ascii="Times New Roman" w:hAnsi="Times New Roman"/>
          <w:sz w:val="28"/>
        </w:rPr>
        <w:t xml:space="preserve"> в</w:t>
      </w:r>
      <w:r>
        <w:rPr>
          <w:rFonts w:ascii="Times New Roman" w:hAnsi="Times New Roman"/>
          <w:sz w:val="28"/>
        </w:rPr>
        <w:t xml:space="preserve"> ТИК</w:t>
      </w:r>
      <w:r>
        <w:rPr>
          <w:rFonts w:ascii="Times New Roman" w:hAnsi="Times New Roman"/>
          <w:sz w:val="28"/>
        </w:rPr>
        <w:t>.</w:t>
      </w:r>
    </w:p>
    <w:p w14:paraId="68000000">
      <w:pPr>
        <w:widowControl w:val="1"/>
        <w:tabs>
          <w:tab w:leader="none" w:pos="9497" w:val="right"/>
        </w:tabs>
        <w:spacing w:after="0" w:line="240" w:lineRule="auto"/>
        <w:ind w:left="5103"/>
        <w:jc w:val="center"/>
        <w:rPr>
          <w:sz w:val="24"/>
        </w:rPr>
      </w:pPr>
    </w:p>
    <w:p w14:paraId="69000000">
      <w:pPr>
        <w:widowControl w:val="1"/>
        <w:tabs>
          <w:tab w:leader="none" w:pos="9497" w:val="right"/>
        </w:tabs>
        <w:spacing w:after="0" w:line="240" w:lineRule="auto"/>
        <w:ind w:left="5103"/>
        <w:jc w:val="center"/>
        <w:rPr>
          <w:sz w:val="24"/>
        </w:rPr>
      </w:pPr>
    </w:p>
    <w:p w14:paraId="6A000000">
      <w:pPr>
        <w:widowControl w:val="1"/>
        <w:tabs>
          <w:tab w:leader="none" w:pos="9497" w:val="right"/>
        </w:tabs>
        <w:spacing w:after="0" w:line="240" w:lineRule="auto"/>
        <w:ind w:left="5103"/>
        <w:jc w:val="center"/>
        <w:rPr>
          <w:sz w:val="24"/>
        </w:rPr>
      </w:pPr>
    </w:p>
    <w:p w14:paraId="6B000000">
      <w:pPr>
        <w:widowControl w:val="1"/>
        <w:tabs>
          <w:tab w:leader="none" w:pos="9497" w:val="right"/>
        </w:tabs>
        <w:spacing w:after="0" w:line="240" w:lineRule="auto"/>
        <w:ind w:left="5103"/>
        <w:jc w:val="center"/>
        <w:rPr>
          <w:sz w:val="24"/>
        </w:rPr>
      </w:pPr>
    </w:p>
    <w:p w14:paraId="6C000000">
      <w:pPr>
        <w:widowControl w:val="1"/>
        <w:tabs>
          <w:tab w:leader="none" w:pos="9497" w:val="right"/>
        </w:tabs>
        <w:spacing w:after="0" w:line="240" w:lineRule="auto"/>
        <w:ind w:left="5103"/>
        <w:jc w:val="center"/>
        <w:rPr>
          <w:sz w:val="24"/>
        </w:rPr>
      </w:pPr>
    </w:p>
    <w:p w14:paraId="6D000000">
      <w:pPr>
        <w:widowControl w:val="1"/>
        <w:tabs>
          <w:tab w:leader="none" w:pos="9497" w:val="right"/>
        </w:tabs>
        <w:spacing w:after="0" w:line="240" w:lineRule="auto"/>
        <w:ind w:left="5103"/>
        <w:jc w:val="center"/>
        <w:rPr>
          <w:sz w:val="24"/>
        </w:rPr>
      </w:pPr>
    </w:p>
    <w:p w14:paraId="6E000000">
      <w:pPr>
        <w:widowControl w:val="1"/>
        <w:tabs>
          <w:tab w:leader="none" w:pos="9497" w:val="right"/>
        </w:tabs>
        <w:spacing w:after="0" w:line="240" w:lineRule="auto"/>
        <w:ind w:left="5103"/>
        <w:jc w:val="center"/>
        <w:rPr>
          <w:sz w:val="24"/>
        </w:rPr>
      </w:pPr>
    </w:p>
    <w:p w14:paraId="6F000000">
      <w:pPr>
        <w:widowControl w:val="1"/>
        <w:tabs>
          <w:tab w:leader="none" w:pos="9497" w:val="right"/>
        </w:tabs>
        <w:spacing w:after="0" w:line="240" w:lineRule="auto"/>
        <w:ind w:left="5103"/>
        <w:jc w:val="center"/>
        <w:rPr>
          <w:sz w:val="24"/>
        </w:rPr>
      </w:pPr>
    </w:p>
    <w:p w14:paraId="70000000">
      <w:pPr>
        <w:widowControl w:val="1"/>
        <w:tabs>
          <w:tab w:leader="none" w:pos="9497" w:val="right"/>
        </w:tabs>
        <w:spacing w:after="0" w:line="240" w:lineRule="auto"/>
        <w:ind w:left="5103"/>
        <w:jc w:val="center"/>
        <w:rPr>
          <w:sz w:val="24"/>
        </w:rPr>
      </w:pPr>
    </w:p>
    <w:p w14:paraId="71000000">
      <w:pPr>
        <w:widowControl w:val="1"/>
        <w:tabs>
          <w:tab w:leader="none" w:pos="9497" w:val="right"/>
        </w:tabs>
        <w:spacing w:after="0" w:line="240" w:lineRule="auto"/>
        <w:ind w:left="5103"/>
        <w:jc w:val="center"/>
        <w:rPr>
          <w:sz w:val="24"/>
        </w:rPr>
      </w:pPr>
    </w:p>
    <w:p w14:paraId="72000000">
      <w:pPr>
        <w:widowControl w:val="1"/>
        <w:tabs>
          <w:tab w:leader="none" w:pos="9497" w:val="right"/>
        </w:tabs>
        <w:spacing w:after="0" w:line="240" w:lineRule="auto"/>
        <w:ind w:left="5103"/>
        <w:jc w:val="center"/>
        <w:rPr>
          <w:sz w:val="24"/>
        </w:rPr>
      </w:pPr>
    </w:p>
    <w:p w14:paraId="73000000">
      <w:pPr>
        <w:widowControl w:val="1"/>
        <w:tabs>
          <w:tab w:leader="none" w:pos="9497" w:val="right"/>
        </w:tabs>
        <w:spacing w:after="0" w:line="240" w:lineRule="auto"/>
        <w:ind w:left="5103"/>
        <w:jc w:val="center"/>
        <w:rPr>
          <w:sz w:val="24"/>
        </w:rPr>
      </w:pPr>
    </w:p>
    <w:p w14:paraId="74000000">
      <w:pPr>
        <w:widowControl w:val="1"/>
        <w:tabs>
          <w:tab w:leader="none" w:pos="9497" w:val="right"/>
        </w:tabs>
        <w:spacing w:after="0" w:line="240" w:lineRule="auto"/>
        <w:ind w:left="5103"/>
        <w:jc w:val="center"/>
        <w:rPr>
          <w:sz w:val="24"/>
        </w:rPr>
      </w:pPr>
    </w:p>
    <w:p w14:paraId="75000000">
      <w:pPr>
        <w:widowControl w:val="1"/>
        <w:tabs>
          <w:tab w:leader="none" w:pos="9497" w:val="right"/>
        </w:tabs>
        <w:spacing w:after="0" w:line="240" w:lineRule="auto"/>
        <w:ind w:left="5103"/>
        <w:jc w:val="center"/>
        <w:rPr>
          <w:sz w:val="24"/>
        </w:rPr>
      </w:pPr>
    </w:p>
    <w:p w14:paraId="76000000">
      <w:pPr>
        <w:widowControl w:val="1"/>
        <w:tabs>
          <w:tab w:leader="none" w:pos="9497" w:val="right"/>
        </w:tabs>
        <w:spacing w:after="0" w:line="240" w:lineRule="auto"/>
        <w:ind w:left="5103"/>
        <w:jc w:val="center"/>
        <w:rPr>
          <w:sz w:val="24"/>
        </w:rPr>
      </w:pPr>
    </w:p>
    <w:p w14:paraId="77000000">
      <w:pPr>
        <w:widowControl w:val="1"/>
        <w:tabs>
          <w:tab w:leader="none" w:pos="9497" w:val="right"/>
        </w:tabs>
        <w:spacing w:after="0" w:line="240" w:lineRule="auto"/>
        <w:ind w:left="5103"/>
        <w:jc w:val="center"/>
        <w:rPr>
          <w:sz w:val="24"/>
        </w:rPr>
      </w:pPr>
    </w:p>
    <w:p w14:paraId="78000000">
      <w:pPr>
        <w:widowControl w:val="1"/>
        <w:tabs>
          <w:tab w:leader="none" w:pos="9497" w:val="right"/>
        </w:tabs>
        <w:spacing w:after="0" w:line="240" w:lineRule="auto"/>
        <w:ind w:left="5103"/>
        <w:jc w:val="center"/>
        <w:rPr>
          <w:sz w:val="24"/>
        </w:rPr>
      </w:pPr>
    </w:p>
    <w:p w14:paraId="79000000">
      <w:pPr>
        <w:widowControl w:val="1"/>
        <w:tabs>
          <w:tab w:leader="none" w:pos="9497" w:val="right"/>
        </w:tabs>
        <w:spacing w:after="0" w:line="240" w:lineRule="auto"/>
        <w:ind w:left="5103"/>
        <w:jc w:val="center"/>
        <w:rPr>
          <w:sz w:val="24"/>
        </w:rPr>
      </w:pPr>
    </w:p>
    <w:p w14:paraId="7A000000">
      <w:pPr>
        <w:widowControl w:val="1"/>
        <w:tabs>
          <w:tab w:leader="none" w:pos="9497" w:val="right"/>
        </w:tabs>
        <w:spacing w:after="0" w:line="240" w:lineRule="auto"/>
        <w:ind w:left="5103"/>
        <w:jc w:val="center"/>
        <w:rPr>
          <w:sz w:val="24"/>
        </w:rPr>
      </w:pPr>
    </w:p>
    <w:p w14:paraId="7B000000">
      <w:pPr>
        <w:widowControl w:val="1"/>
        <w:tabs>
          <w:tab w:leader="none" w:pos="9497" w:val="right"/>
        </w:tabs>
        <w:spacing w:after="0" w:line="240" w:lineRule="auto"/>
        <w:ind w:left="5103"/>
        <w:jc w:val="center"/>
        <w:rPr>
          <w:sz w:val="24"/>
        </w:rPr>
      </w:pPr>
    </w:p>
    <w:p w14:paraId="7C000000">
      <w:pPr>
        <w:widowControl w:val="1"/>
        <w:tabs>
          <w:tab w:leader="none" w:pos="9497" w:val="right"/>
        </w:tabs>
        <w:spacing w:after="0" w:line="240" w:lineRule="auto"/>
        <w:ind w:left="5103"/>
        <w:jc w:val="center"/>
        <w:rPr>
          <w:sz w:val="24"/>
        </w:rPr>
      </w:pPr>
    </w:p>
    <w:p w14:paraId="7D000000">
      <w:pPr>
        <w:widowControl w:val="1"/>
        <w:tabs>
          <w:tab w:leader="none" w:pos="9497" w:val="right"/>
        </w:tabs>
        <w:spacing w:after="0" w:line="240" w:lineRule="auto"/>
        <w:ind w:left="5103"/>
        <w:jc w:val="center"/>
        <w:rPr>
          <w:sz w:val="24"/>
        </w:rPr>
      </w:pPr>
    </w:p>
    <w:p w14:paraId="7E000000">
      <w:pPr>
        <w:widowControl w:val="1"/>
        <w:tabs>
          <w:tab w:leader="none" w:pos="9497" w:val="right"/>
        </w:tabs>
        <w:spacing w:after="0" w:line="240" w:lineRule="auto"/>
        <w:ind w:left="5103"/>
        <w:jc w:val="center"/>
        <w:rPr>
          <w:sz w:val="24"/>
        </w:rPr>
      </w:pPr>
    </w:p>
    <w:p w14:paraId="7F000000">
      <w:pPr>
        <w:widowControl w:val="1"/>
        <w:tabs>
          <w:tab w:leader="none" w:pos="9497" w:val="right"/>
        </w:tabs>
        <w:spacing w:after="0" w:line="240" w:lineRule="auto"/>
        <w:ind w:left="5103"/>
        <w:jc w:val="center"/>
        <w:rPr>
          <w:sz w:val="24"/>
        </w:rPr>
      </w:pPr>
    </w:p>
    <w:p w14:paraId="80000000">
      <w:pPr>
        <w:widowControl w:val="1"/>
        <w:tabs>
          <w:tab w:leader="none" w:pos="9497" w:val="right"/>
        </w:tabs>
        <w:spacing w:after="0" w:line="240" w:lineRule="auto"/>
        <w:ind w:left="5103"/>
        <w:jc w:val="center"/>
        <w:rPr>
          <w:sz w:val="24"/>
        </w:rPr>
      </w:pPr>
    </w:p>
    <w:p w14:paraId="81000000">
      <w:pPr>
        <w:widowControl w:val="1"/>
        <w:tabs>
          <w:tab w:leader="none" w:pos="9497" w:val="right"/>
        </w:tabs>
        <w:spacing w:after="0" w:line="240" w:lineRule="auto"/>
        <w:ind w:left="5103"/>
        <w:jc w:val="center"/>
        <w:rPr>
          <w:sz w:val="24"/>
        </w:rPr>
      </w:pPr>
    </w:p>
    <w:p w14:paraId="82000000">
      <w:pPr>
        <w:widowControl w:val="1"/>
        <w:tabs>
          <w:tab w:leader="none" w:pos="9497" w:val="right"/>
        </w:tabs>
        <w:spacing w:after="0" w:line="240" w:lineRule="auto"/>
        <w:ind w:left="5103"/>
        <w:jc w:val="center"/>
        <w:rPr>
          <w:sz w:val="24"/>
        </w:rPr>
      </w:pPr>
    </w:p>
    <w:p w14:paraId="83000000">
      <w:pPr>
        <w:widowControl w:val="1"/>
        <w:tabs>
          <w:tab w:leader="none" w:pos="9497" w:val="right"/>
        </w:tabs>
        <w:spacing w:after="0" w:line="240" w:lineRule="auto"/>
        <w:ind w:left="5103"/>
        <w:jc w:val="center"/>
        <w:rPr>
          <w:sz w:val="24"/>
        </w:rPr>
      </w:pPr>
    </w:p>
    <w:p w14:paraId="84000000">
      <w:pPr>
        <w:widowControl w:val="1"/>
        <w:tabs>
          <w:tab w:leader="none" w:pos="9497" w:val="right"/>
        </w:tabs>
        <w:spacing w:after="0" w:line="240" w:lineRule="auto"/>
        <w:ind w:left="5103"/>
        <w:jc w:val="center"/>
        <w:rPr>
          <w:sz w:val="24"/>
        </w:rPr>
      </w:pPr>
    </w:p>
    <w:p w14:paraId="85000000">
      <w:pPr>
        <w:widowControl w:val="1"/>
        <w:tabs>
          <w:tab w:leader="none" w:pos="9497" w:val="right"/>
        </w:tabs>
        <w:spacing w:after="0" w:line="240" w:lineRule="auto"/>
        <w:ind w:left="5103"/>
        <w:jc w:val="center"/>
        <w:rPr>
          <w:sz w:val="24"/>
        </w:rPr>
      </w:pPr>
    </w:p>
    <w:p w14:paraId="86000000">
      <w:pPr>
        <w:widowControl w:val="1"/>
        <w:tabs>
          <w:tab w:leader="none" w:pos="9497" w:val="right"/>
        </w:tabs>
        <w:spacing w:after="0" w:line="240" w:lineRule="auto"/>
        <w:ind w:left="5103"/>
        <w:jc w:val="center"/>
        <w:rPr>
          <w:sz w:val="24"/>
        </w:rPr>
      </w:pPr>
    </w:p>
    <w:p w14:paraId="87000000">
      <w:pPr>
        <w:widowControl w:val="1"/>
        <w:tabs>
          <w:tab w:leader="none" w:pos="9497" w:val="right"/>
        </w:tabs>
        <w:spacing w:after="0" w:line="240" w:lineRule="auto"/>
        <w:ind w:left="5103"/>
        <w:jc w:val="center"/>
        <w:rPr>
          <w:sz w:val="24"/>
        </w:rPr>
      </w:pPr>
      <w:r>
        <w:rPr>
          <w:sz w:val="24"/>
        </w:rPr>
        <w:t xml:space="preserve">Приложение </w:t>
      </w:r>
      <w:r>
        <w:rPr>
          <w:sz w:val="24"/>
        </w:rPr>
        <w:t xml:space="preserve">№ </w:t>
      </w:r>
      <w:r>
        <w:rPr>
          <w:sz w:val="24"/>
        </w:rPr>
        <w:t xml:space="preserve">2 </w:t>
      </w:r>
    </w:p>
    <w:p w14:paraId="88000000">
      <w:pPr>
        <w:widowControl w:val="1"/>
        <w:tabs>
          <w:tab w:leader="none" w:pos="9497" w:val="right"/>
        </w:tabs>
        <w:spacing w:after="0" w:line="240" w:lineRule="auto"/>
        <w:ind w:left="5103"/>
        <w:jc w:val="center"/>
        <w:rPr>
          <w:sz w:val="24"/>
        </w:rPr>
      </w:pPr>
      <w:r>
        <w:rPr>
          <w:sz w:val="24"/>
        </w:rPr>
        <w:t xml:space="preserve">к постановлению Территориальной избирательной комиссии </w:t>
      </w:r>
    </w:p>
    <w:p w14:paraId="89000000">
      <w:pPr>
        <w:widowControl w:val="1"/>
        <w:tabs>
          <w:tab w:leader="none" w:pos="9497" w:val="right"/>
        </w:tabs>
        <w:spacing w:after="0" w:line="240" w:lineRule="auto"/>
        <w:ind w:left="5103"/>
        <w:jc w:val="center"/>
        <w:rPr>
          <w:sz w:val="24"/>
        </w:rPr>
      </w:pPr>
      <w:r>
        <w:rPr>
          <w:sz w:val="24"/>
        </w:rPr>
        <w:t>города Таганрога (</w:t>
      </w:r>
      <w:r>
        <w:rPr>
          <w:sz w:val="24"/>
        </w:rPr>
        <w:t>западная</w:t>
      </w:r>
      <w:r>
        <w:rPr>
          <w:sz w:val="24"/>
        </w:rPr>
        <w:t xml:space="preserve">) </w:t>
      </w:r>
    </w:p>
    <w:p w14:paraId="8A000000">
      <w:pPr>
        <w:widowControl w:val="1"/>
        <w:tabs>
          <w:tab w:leader="none" w:pos="9497" w:val="right"/>
        </w:tabs>
        <w:spacing w:after="0" w:line="240" w:lineRule="auto"/>
        <w:ind w:left="5103"/>
        <w:jc w:val="center"/>
        <w:rPr>
          <w:sz w:val="24"/>
        </w:rPr>
      </w:pPr>
      <w:r>
        <w:rPr>
          <w:sz w:val="24"/>
        </w:rPr>
        <w:t xml:space="preserve">Ростовской области  </w:t>
      </w:r>
    </w:p>
    <w:p w14:paraId="8B000000">
      <w:pPr>
        <w:widowControl w:val="1"/>
        <w:tabs>
          <w:tab w:leader="none" w:pos="9497" w:val="right"/>
        </w:tabs>
        <w:spacing w:after="0" w:line="240" w:lineRule="auto"/>
        <w:ind w:left="5103"/>
        <w:jc w:val="center"/>
        <w:rPr>
          <w:sz w:val="24"/>
        </w:rPr>
      </w:pPr>
      <w:r>
        <w:rPr>
          <w:sz w:val="24"/>
        </w:rPr>
        <w:t>от 01</w:t>
      </w:r>
      <w:r>
        <w:rPr>
          <w:sz w:val="24"/>
        </w:rPr>
        <w:t>.07.2026 № 3-10</w:t>
      </w:r>
    </w:p>
    <w:p w14:paraId="8C000000">
      <w:pPr>
        <w:widowControl w:val="1"/>
        <w:tabs>
          <w:tab w:leader="none" w:pos="9497" w:val="right"/>
        </w:tabs>
        <w:spacing w:after="0" w:line="240" w:lineRule="auto"/>
        <w:ind/>
        <w:rPr>
          <w:sz w:val="24"/>
        </w:rPr>
      </w:pPr>
    </w:p>
    <w:tbl>
      <w:tblPr>
        <w:tblStyle w:val="Style_1"/>
        <w:tblW w:type="auto" w:w="0"/>
        <w:jc w:val="center"/>
        <w:tblInd w:type="dxa" w:w="1526"/>
        <w:tblLayout w:type="fixed"/>
      </w:tblPr>
      <w:tblGrid>
        <w:gridCol w:w="7586"/>
      </w:tblGrid>
      <w:tr>
        <w:tc>
          <w:tcPr>
            <w:tcW w:type="dxa" w:w="7586"/>
            <w:shd w:fill="auto" w:val="clear"/>
          </w:tcPr>
          <w:p w14:paraId="8D000000">
            <w:pPr>
              <w:widowControl w:val="1"/>
              <w:spacing w:after="0" w:line="240" w:lineRule="auto"/>
              <w:ind/>
              <w:jc w:val="both"/>
            </w:pPr>
            <w:r>
              <w:t xml:space="preserve">Состав Рабочей группы при </w:t>
            </w:r>
            <w:r>
              <w:t xml:space="preserve">Территориальной избирательной комиссии </w:t>
            </w:r>
            <w:r>
              <w:t>города Таганрога (</w:t>
            </w:r>
            <w:r>
              <w:t>западная</w:t>
            </w:r>
            <w:r>
              <w:t>) Ростовской области</w:t>
            </w:r>
            <w:r>
              <w:rPr>
                <w:vertAlign w:val="superscript"/>
              </w:rPr>
              <w:br/>
            </w:r>
            <w:r>
              <w:t xml:space="preserve">по контролю за соблюдением установленного порядка проведения предвыборной агитации в период подготовки </w:t>
            </w:r>
            <w:r>
              <w:br/>
            </w:r>
            <w:r>
              <w:t>и проведения выборов Губернатора Ростовской области</w:t>
            </w:r>
          </w:p>
        </w:tc>
      </w:tr>
    </w:tbl>
    <w:p w14:paraId="8E000000">
      <w:pPr>
        <w:widowControl w:val="1"/>
        <w:spacing w:after="0" w:line="240" w:lineRule="auto"/>
        <w:ind/>
      </w:pPr>
    </w:p>
    <w:p w14:paraId="8F000000">
      <w:pPr>
        <w:widowControl w:val="1"/>
        <w:spacing w:after="0" w:line="240" w:lineRule="auto"/>
        <w:ind/>
      </w:pPr>
    </w:p>
    <w:tbl>
      <w:tblPr>
        <w:tblStyle w:val="Style_1"/>
        <w:tblW w:type="auto" w:w="0"/>
        <w:tblLayout w:type="fixed"/>
      </w:tblPr>
      <w:tblGrid>
        <w:gridCol w:w="675"/>
        <w:gridCol w:w="2835"/>
        <w:gridCol w:w="6092"/>
        <w:gridCol w:w="4"/>
      </w:tblGrid>
      <w:tr>
        <w:tc>
          <w:tcPr>
            <w:tcW w:type="dxa" w:w="675"/>
          </w:tcPr>
          <w:p w14:paraId="90000000">
            <w:pPr>
              <w:keepNext w:val="1"/>
              <w:widowControl w:val="1"/>
              <w:numPr>
                <w:ilvl w:val="0"/>
                <w:numId w:val="2"/>
              </w:numPr>
              <w:tabs>
                <w:tab w:leader="none" w:pos="191" w:val="left"/>
                <w:tab w:leader="none" w:pos="386" w:val="left"/>
              </w:tabs>
              <w:spacing w:after="0" w:line="240" w:lineRule="auto"/>
              <w:ind w:hanging="578"/>
              <w:outlineLvl w:val="0"/>
            </w:pPr>
          </w:p>
        </w:tc>
        <w:tc>
          <w:tcPr>
            <w:tcW w:type="dxa" w:w="2835"/>
          </w:tcPr>
          <w:p w14:paraId="91000000">
            <w:pPr>
              <w:keepNext w:val="1"/>
              <w:widowControl w:val="1"/>
              <w:tabs>
                <w:tab w:leader="none" w:pos="191" w:val="left"/>
                <w:tab w:leader="none" w:pos="386" w:val="left"/>
              </w:tabs>
              <w:spacing w:after="0" w:line="240" w:lineRule="auto"/>
              <w:ind/>
              <w:outlineLvl w:val="0"/>
            </w:pPr>
            <w:r>
              <w:t>Кочиева Надежда Николаевна</w:t>
            </w:r>
          </w:p>
        </w:tc>
        <w:tc>
          <w:tcPr>
            <w:tcW w:type="dxa" w:w="6096"/>
            <w:gridSpan w:val="2"/>
          </w:tcPr>
          <w:p w14:paraId="92000000">
            <w:pPr>
              <w:widowControl w:val="1"/>
              <w:spacing w:after="0" w:line="240" w:lineRule="auto"/>
              <w:ind/>
              <w:jc w:val="both"/>
            </w:pPr>
            <w:r>
              <w:t xml:space="preserve">заместитель председателя </w:t>
            </w:r>
            <w:r>
              <w:t xml:space="preserve">Территориальной избирательной комиссии </w:t>
            </w:r>
            <w:r>
              <w:t>города Таганрога (</w:t>
            </w:r>
            <w:r>
              <w:t>западная</w:t>
            </w:r>
            <w:r>
              <w:t>) Ростовской области</w:t>
            </w:r>
            <w:r>
              <w:t>, руководитель Рабочей группы</w:t>
            </w:r>
          </w:p>
        </w:tc>
      </w:tr>
      <w:tr>
        <w:trPr>
          <w:trHeight w:hRule="atLeast" w:val="283"/>
        </w:trPr>
        <w:tc>
          <w:tcPr>
            <w:tcW w:type="dxa" w:w="675"/>
          </w:tcPr>
          <w:p w14:paraId="93000000">
            <w:pPr>
              <w:keepNext w:val="1"/>
              <w:widowControl w:val="1"/>
              <w:tabs>
                <w:tab w:leader="none" w:pos="191" w:val="left"/>
                <w:tab w:leader="none" w:pos="386" w:val="left"/>
              </w:tabs>
              <w:spacing w:after="0" w:line="240" w:lineRule="auto"/>
              <w:ind w:left="720"/>
              <w:outlineLvl w:val="0"/>
            </w:pPr>
          </w:p>
        </w:tc>
        <w:tc>
          <w:tcPr>
            <w:tcW w:type="dxa" w:w="2835"/>
          </w:tcPr>
          <w:p w14:paraId="94000000">
            <w:pPr>
              <w:widowControl w:val="1"/>
              <w:spacing w:after="0" w:line="240" w:lineRule="auto"/>
              <w:ind/>
              <w:jc w:val="both"/>
            </w:pPr>
          </w:p>
        </w:tc>
        <w:tc>
          <w:tcPr>
            <w:tcW w:type="dxa" w:w="6092"/>
          </w:tcPr>
          <w:p/>
        </w:tc>
        <w:tc>
          <w:tcPr>
            <w:tcW w:type="dxa" w:w="4"/>
          </w:tcPr>
          <w:p/>
        </w:tc>
      </w:tr>
      <w:tr>
        <w:tc>
          <w:tcPr>
            <w:tcW w:type="dxa" w:w="675"/>
          </w:tcPr>
          <w:p w14:paraId="95000000">
            <w:pPr>
              <w:keepNext w:val="1"/>
              <w:widowControl w:val="1"/>
              <w:numPr>
                <w:ilvl w:val="0"/>
                <w:numId w:val="2"/>
              </w:numPr>
              <w:tabs>
                <w:tab w:leader="none" w:pos="191" w:val="left"/>
                <w:tab w:leader="none" w:pos="386" w:val="left"/>
              </w:tabs>
              <w:spacing w:after="0" w:line="240" w:lineRule="auto"/>
              <w:ind w:hanging="578"/>
              <w:outlineLvl w:val="2"/>
            </w:pPr>
          </w:p>
        </w:tc>
        <w:tc>
          <w:tcPr>
            <w:tcW w:type="dxa" w:w="2835"/>
          </w:tcPr>
          <w:p w14:paraId="96000000">
            <w:pPr>
              <w:keepNext w:val="1"/>
              <w:widowControl w:val="0"/>
              <w:tabs>
                <w:tab w:leader="none" w:pos="191" w:val="left"/>
                <w:tab w:leader="none" w:pos="386" w:val="left"/>
              </w:tabs>
              <w:ind/>
              <w:outlineLvl w:val="2"/>
              <w:rPr>
                <w:sz w:val="28"/>
              </w:rPr>
            </w:pPr>
            <w:r>
              <w:rPr>
                <w:sz w:val="28"/>
              </w:rPr>
              <w:t>Павленко Наталья Викторовна</w:t>
            </w:r>
          </w:p>
          <w:p w14:paraId="97000000">
            <w:pPr>
              <w:keepNext w:val="1"/>
              <w:widowControl w:val="1"/>
              <w:tabs>
                <w:tab w:leader="none" w:pos="191" w:val="left"/>
                <w:tab w:leader="none" w:pos="386" w:val="left"/>
              </w:tabs>
              <w:spacing w:after="0" w:line="240" w:lineRule="auto"/>
              <w:ind/>
              <w:outlineLvl w:val="2"/>
            </w:pPr>
          </w:p>
        </w:tc>
        <w:tc>
          <w:tcPr>
            <w:tcW w:type="dxa" w:w="6096"/>
            <w:gridSpan w:val="2"/>
          </w:tcPr>
          <w:p w14:paraId="98000000">
            <w:pPr>
              <w:widowControl w:val="1"/>
              <w:spacing w:after="0" w:line="240" w:lineRule="auto"/>
              <w:ind/>
              <w:jc w:val="both"/>
            </w:pPr>
            <w:r>
              <w:t xml:space="preserve">член </w:t>
            </w:r>
            <w:r>
              <w:t xml:space="preserve">Территориальной избирательной комиссии </w:t>
            </w:r>
            <w:r>
              <w:t>города Таганрога (</w:t>
            </w:r>
            <w:r>
              <w:t>западная</w:t>
            </w:r>
            <w:r>
              <w:t xml:space="preserve">) Ростовской области </w:t>
            </w:r>
            <w:r>
              <w:t xml:space="preserve">с правом решающего голоса, заместитель руководителя Рабочей группы </w:t>
            </w:r>
          </w:p>
        </w:tc>
      </w:tr>
      <w:tr>
        <w:trPr>
          <w:trHeight w:hRule="atLeast" w:val="283"/>
        </w:trPr>
        <w:tc>
          <w:tcPr>
            <w:tcW w:type="dxa" w:w="675"/>
          </w:tcPr>
          <w:p w14:paraId="99000000">
            <w:pPr>
              <w:widowControl w:val="1"/>
              <w:spacing w:after="0" w:line="240" w:lineRule="auto"/>
              <w:ind w:left="720"/>
            </w:pPr>
          </w:p>
        </w:tc>
        <w:tc>
          <w:tcPr>
            <w:tcW w:type="dxa" w:w="2835"/>
          </w:tcPr>
          <w:p w14:paraId="9A000000">
            <w:pPr>
              <w:widowControl w:val="1"/>
              <w:spacing w:after="0" w:line="240" w:lineRule="auto"/>
              <w:ind/>
            </w:pPr>
          </w:p>
        </w:tc>
        <w:tc>
          <w:tcPr>
            <w:tcW w:type="dxa" w:w="6092"/>
          </w:tcPr>
          <w:p/>
        </w:tc>
        <w:tc>
          <w:tcPr>
            <w:tcW w:type="dxa" w:w="4"/>
          </w:tcPr>
          <w:p/>
        </w:tc>
      </w:tr>
      <w:tr>
        <w:tc>
          <w:tcPr>
            <w:tcW w:type="dxa" w:w="675"/>
          </w:tcPr>
          <w:p w14:paraId="9B000000">
            <w:pPr>
              <w:widowControl w:val="1"/>
              <w:numPr>
                <w:ilvl w:val="0"/>
                <w:numId w:val="2"/>
              </w:numPr>
              <w:spacing w:after="0" w:line="240" w:lineRule="auto"/>
              <w:ind w:hanging="578"/>
            </w:pPr>
          </w:p>
        </w:tc>
        <w:tc>
          <w:tcPr>
            <w:tcW w:type="dxa" w:w="2835"/>
          </w:tcPr>
          <w:p w14:paraId="9C000000">
            <w:pPr>
              <w:rPr>
                <w:sz w:val="28"/>
              </w:rPr>
            </w:pPr>
            <w:r>
              <w:rPr>
                <w:sz w:val="28"/>
              </w:rPr>
              <w:t>Лаврищев Виталий Александрович</w:t>
            </w:r>
          </w:p>
          <w:p w14:paraId="9D000000">
            <w:pPr>
              <w:keepNext w:val="1"/>
              <w:widowControl w:val="1"/>
              <w:tabs>
                <w:tab w:leader="none" w:pos="191" w:val="left"/>
                <w:tab w:leader="none" w:pos="386" w:val="left"/>
              </w:tabs>
              <w:spacing w:after="0" w:line="240" w:lineRule="auto"/>
              <w:ind w:left="34"/>
              <w:outlineLvl w:val="0"/>
            </w:pPr>
          </w:p>
        </w:tc>
        <w:tc>
          <w:tcPr>
            <w:tcW w:type="dxa" w:w="6096"/>
            <w:gridSpan w:val="2"/>
          </w:tcPr>
          <w:p w14:paraId="9E000000">
            <w:pPr>
              <w:widowControl w:val="1"/>
              <w:spacing w:after="0" w:line="240" w:lineRule="auto"/>
              <w:ind/>
              <w:jc w:val="both"/>
            </w:pPr>
            <w:r>
              <w:t xml:space="preserve">системный администратор территориального комплекса средств автоматизации ГАС «Выборы» </w:t>
            </w:r>
            <w:r>
              <w:t>города Таганрога (</w:t>
            </w:r>
            <w:r>
              <w:t>западная</w:t>
            </w:r>
            <w:r>
              <w:t>)</w:t>
            </w:r>
          </w:p>
        </w:tc>
      </w:tr>
      <w:tr>
        <w:tc>
          <w:tcPr>
            <w:tcW w:type="dxa" w:w="675"/>
          </w:tcPr>
          <w:p w14:paraId="9F000000">
            <w:pPr>
              <w:widowControl w:val="1"/>
              <w:spacing w:after="0" w:line="240" w:lineRule="auto"/>
              <w:ind w:left="644"/>
            </w:pPr>
          </w:p>
        </w:tc>
        <w:tc>
          <w:tcPr>
            <w:tcW w:type="dxa" w:w="2835"/>
          </w:tcPr>
          <w:p w14:paraId="A0000000">
            <w:pPr>
              <w:keepNext w:val="1"/>
              <w:widowControl w:val="1"/>
              <w:tabs>
                <w:tab w:leader="none" w:pos="191" w:val="left"/>
                <w:tab w:leader="none" w:pos="386" w:val="left"/>
              </w:tabs>
              <w:spacing w:after="0" w:line="240" w:lineRule="auto"/>
              <w:ind w:left="34"/>
              <w:outlineLvl w:val="0"/>
            </w:pPr>
          </w:p>
        </w:tc>
        <w:tc>
          <w:tcPr>
            <w:tcW w:type="dxa" w:w="6096"/>
            <w:gridSpan w:val="2"/>
          </w:tcPr>
          <w:p w14:paraId="A1000000">
            <w:pPr>
              <w:widowControl w:val="1"/>
              <w:spacing w:after="0" w:line="240" w:lineRule="auto"/>
              <w:ind/>
              <w:jc w:val="both"/>
            </w:pPr>
          </w:p>
        </w:tc>
      </w:tr>
      <w:tr>
        <w:tc>
          <w:tcPr>
            <w:tcW w:type="dxa" w:w="675"/>
          </w:tcPr>
          <w:p w14:paraId="A2000000">
            <w:pPr>
              <w:widowControl w:val="1"/>
              <w:numPr>
                <w:ilvl w:val="0"/>
                <w:numId w:val="2"/>
              </w:numPr>
              <w:spacing w:after="0" w:line="240" w:lineRule="auto"/>
              <w:ind w:hanging="578"/>
            </w:pPr>
          </w:p>
        </w:tc>
        <w:tc>
          <w:tcPr>
            <w:tcW w:type="dxa" w:w="2835"/>
          </w:tcPr>
          <w:p w14:paraId="A3000000">
            <w:pPr>
              <w:keepNext w:val="1"/>
              <w:widowControl w:val="1"/>
              <w:tabs>
                <w:tab w:leader="none" w:pos="191" w:val="left"/>
                <w:tab w:leader="none" w:pos="386" w:val="left"/>
              </w:tabs>
              <w:spacing w:after="0" w:line="240" w:lineRule="auto"/>
              <w:ind w:left="34"/>
              <w:outlineLvl w:val="0"/>
            </w:pPr>
            <w:r>
              <w:t>Костюченко Олег Анатольевич</w:t>
            </w:r>
          </w:p>
        </w:tc>
        <w:tc>
          <w:tcPr>
            <w:tcW w:type="dxa" w:w="6096"/>
            <w:gridSpan w:val="2"/>
          </w:tcPr>
          <w:p w14:paraId="A4000000">
            <w:pPr>
              <w:widowControl w:val="1"/>
              <w:spacing w:after="0" w:line="240" w:lineRule="auto"/>
              <w:ind/>
              <w:jc w:val="both"/>
            </w:pPr>
            <w:r>
              <w:t xml:space="preserve">член </w:t>
            </w:r>
            <w:r>
              <w:t xml:space="preserve">Территориальной избирательной комиссии </w:t>
            </w:r>
            <w:r>
              <w:t>города Таганрога (</w:t>
            </w:r>
            <w:r>
              <w:t>западная</w:t>
            </w:r>
            <w:r>
              <w:t>) Ростовской области</w:t>
            </w:r>
            <w:r>
              <w:t xml:space="preserve"> с правом решающего голоса</w:t>
            </w:r>
          </w:p>
        </w:tc>
      </w:tr>
      <w:tr>
        <w:tc>
          <w:tcPr>
            <w:tcW w:type="dxa" w:w="675"/>
          </w:tcPr>
          <w:p w14:paraId="A5000000">
            <w:pPr>
              <w:widowControl w:val="1"/>
              <w:spacing w:after="0" w:line="240" w:lineRule="auto"/>
              <w:ind w:left="644"/>
              <w:rPr>
                <w:highlight w:val="yellow"/>
              </w:rPr>
            </w:pPr>
          </w:p>
        </w:tc>
        <w:tc>
          <w:tcPr>
            <w:tcW w:type="dxa" w:w="2835"/>
          </w:tcPr>
          <w:p w14:paraId="A6000000">
            <w:pPr>
              <w:keepNext w:val="1"/>
              <w:widowControl w:val="1"/>
              <w:tabs>
                <w:tab w:leader="none" w:pos="191" w:val="left"/>
                <w:tab w:leader="none" w:pos="386" w:val="left"/>
              </w:tabs>
              <w:spacing w:after="0" w:line="240" w:lineRule="auto"/>
              <w:ind w:left="34"/>
              <w:outlineLvl w:val="0"/>
              <w:rPr>
                <w:highlight w:val="yellow"/>
              </w:rPr>
            </w:pPr>
          </w:p>
        </w:tc>
        <w:tc>
          <w:tcPr>
            <w:tcW w:type="dxa" w:w="6096"/>
            <w:gridSpan w:val="2"/>
          </w:tcPr>
          <w:p w14:paraId="A7000000">
            <w:pPr>
              <w:widowControl w:val="1"/>
              <w:spacing w:after="0" w:line="240" w:lineRule="auto"/>
              <w:ind/>
              <w:jc w:val="both"/>
              <w:rPr>
                <w:highlight w:val="yellow"/>
              </w:rPr>
            </w:pPr>
          </w:p>
        </w:tc>
      </w:tr>
      <w:tr>
        <w:tc>
          <w:tcPr>
            <w:tcW w:type="dxa" w:w="3510"/>
            <w:gridSpan w:val="2"/>
            <w:vAlign w:val="center"/>
          </w:tcPr>
          <w:p w14:paraId="A8000000">
            <w:pPr>
              <w:keepNext w:val="1"/>
              <w:widowControl w:val="1"/>
              <w:tabs>
                <w:tab w:leader="none" w:pos="191" w:val="left"/>
                <w:tab w:leader="none" w:pos="386" w:val="left"/>
              </w:tabs>
              <w:spacing w:after="0" w:line="240" w:lineRule="auto"/>
              <w:ind w:left="34"/>
              <w:jc w:val="center"/>
              <w:outlineLvl w:val="0"/>
            </w:pPr>
            <w:r>
              <w:rPr>
                <w:color w:val="000000"/>
              </w:rPr>
              <w:t>По согласованию</w:t>
            </w:r>
          </w:p>
        </w:tc>
        <w:tc>
          <w:tcPr>
            <w:tcW w:type="dxa" w:w="6092"/>
            <w:vAlign w:val="center"/>
          </w:tcPr>
          <w:p w14:paraId="A9000000">
            <w:pPr>
              <w:widowControl w:val="1"/>
              <w:spacing w:after="0" w:line="240" w:lineRule="auto"/>
              <w:ind/>
              <w:jc w:val="both"/>
            </w:pPr>
            <w:r>
              <w:t>Специалисты территориальных органов федеральных государственных и иных органов, организаций и учреждений</w:t>
            </w:r>
          </w:p>
        </w:tc>
        <w:tc>
          <w:tcPr>
            <w:tcW w:type="dxa" w:w="4"/>
          </w:tcPr>
          <w:p/>
        </w:tc>
      </w:tr>
    </w:tbl>
    <w:p w14:paraId="AA000000">
      <w:pPr>
        <w:widowControl w:val="1"/>
        <w:spacing w:after="0" w:line="240" w:lineRule="auto"/>
        <w:ind/>
        <w:jc w:val="center"/>
      </w:pPr>
    </w:p>
    <w:sectPr>
      <w:pgSz w:h="16838" w:orient="portrait" w:w="11906"/>
      <w:pgMar w:bottom="567" w:footer="709" w:gutter="0" w:header="709" w:left="1418" w:right="851" w:top="567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widowControl w:val="1"/>
        <w:ind w:hanging="360" w:left="720"/>
      </w:pPr>
      <w:rPr>
        <w:rFonts w:ascii="Times New Roman" w:hAnsi="Times New Roman"/>
      </w:rPr>
    </w:lvl>
    <w:lvl w:ilvl="1">
      <w:start w:val="1"/>
      <w:numFmt w:val="lowerLetter"/>
      <w:lvlText w:val="%2."/>
      <w:lvlJc w:val="left"/>
      <w:pPr>
        <w:widowControl w:val="1"/>
        <w:ind w:hanging="360" w:left="1440"/>
      </w:pPr>
    </w:lvl>
    <w:lvl w:ilvl="2">
      <w:start w:val="1"/>
      <w:numFmt w:val="lowerRoman"/>
      <w:lvlText w:val="%3."/>
      <w:lvlJc w:val="right"/>
      <w:pPr>
        <w:widowControl w:val="1"/>
        <w:ind w:hanging="180" w:left="2160"/>
      </w:pPr>
    </w:lvl>
    <w:lvl w:ilvl="3">
      <w:start w:val="1"/>
      <w:numFmt w:val="decimal"/>
      <w:lvlText w:val="%4."/>
      <w:lvlJc w:val="left"/>
      <w:pPr>
        <w:widowControl w:val="1"/>
        <w:ind w:hanging="360" w:left="2880"/>
      </w:pPr>
    </w:lvl>
    <w:lvl w:ilvl="4">
      <w:start w:val="1"/>
      <w:numFmt w:val="lowerLetter"/>
      <w:lvlText w:val="%5."/>
      <w:lvlJc w:val="left"/>
      <w:pPr>
        <w:widowControl w:val="1"/>
        <w:ind w:hanging="360" w:left="3600"/>
      </w:pPr>
    </w:lvl>
    <w:lvl w:ilvl="5">
      <w:start w:val="1"/>
      <w:numFmt w:val="lowerRoman"/>
      <w:lvlText w:val="%6."/>
      <w:lvlJc w:val="right"/>
      <w:pPr>
        <w:widowControl w:val="1"/>
        <w:ind w:hanging="180" w:left="4320"/>
      </w:pPr>
    </w:lvl>
    <w:lvl w:ilvl="6">
      <w:start w:val="1"/>
      <w:numFmt w:val="decimal"/>
      <w:lvlText w:val="%7."/>
      <w:lvlJc w:val="left"/>
      <w:pPr>
        <w:widowControl w:val="1"/>
        <w:ind w:hanging="360" w:left="5040"/>
      </w:pPr>
    </w:lvl>
    <w:lvl w:ilvl="7">
      <w:start w:val="1"/>
      <w:numFmt w:val="lowerLetter"/>
      <w:lvlText w:val="%8."/>
      <w:lvlJc w:val="left"/>
      <w:pPr>
        <w:widowControl w:val="1"/>
        <w:ind w:hanging="360" w:left="5760"/>
      </w:pPr>
    </w:lvl>
    <w:lvl w:ilvl="8">
      <w:start w:val="1"/>
      <w:numFmt w:val="lowerRoman"/>
      <w:lvlText w:val="%9."/>
      <w:lvlJc w:val="right"/>
      <w:pPr>
        <w:widowControl w:val="1"/>
        <w:ind w:hanging="180" w:left="6480"/>
      </w:pPr>
    </w:lvl>
  </w:abstractNum>
  <w:abstractNum w:abstractNumId="1">
    <w:lvl w:ilvl="0">
      <w:start w:val="1"/>
      <w:numFmt w:val="decimal"/>
      <w:lvlText w:val="%1."/>
      <w:lvlJc w:val="left"/>
      <w:pPr>
        <w:widowControl w:val="1"/>
        <w:ind w:hanging="360" w:left="644"/>
      </w:pPr>
      <w:rPr>
        <w:sz w:val="24"/>
      </w:rPr>
    </w:lvl>
    <w:lvl w:ilvl="1">
      <w:start w:val="1"/>
      <w:numFmt w:val="lowerLetter"/>
      <w:lvlText w:val="%2."/>
      <w:lvlJc w:val="left"/>
      <w:pPr>
        <w:widowControl w:val="1"/>
        <w:ind w:hanging="360" w:left="1440"/>
      </w:pPr>
    </w:lvl>
    <w:lvl w:ilvl="2">
      <w:start w:val="1"/>
      <w:numFmt w:val="lowerRoman"/>
      <w:lvlText w:val="%3."/>
      <w:lvlJc w:val="right"/>
      <w:pPr>
        <w:widowControl w:val="1"/>
        <w:ind w:hanging="180" w:left="2160"/>
      </w:pPr>
    </w:lvl>
    <w:lvl w:ilvl="3">
      <w:start w:val="1"/>
      <w:numFmt w:val="decimal"/>
      <w:lvlText w:val="%4."/>
      <w:lvlJc w:val="left"/>
      <w:pPr>
        <w:widowControl w:val="1"/>
        <w:ind w:hanging="360" w:left="2880"/>
      </w:pPr>
    </w:lvl>
    <w:lvl w:ilvl="4">
      <w:start w:val="1"/>
      <w:numFmt w:val="lowerLetter"/>
      <w:lvlText w:val="%5."/>
      <w:lvlJc w:val="left"/>
      <w:pPr>
        <w:widowControl w:val="1"/>
        <w:ind w:hanging="360" w:left="3600"/>
      </w:pPr>
    </w:lvl>
    <w:lvl w:ilvl="5">
      <w:start w:val="1"/>
      <w:numFmt w:val="lowerRoman"/>
      <w:lvlText w:val="%6."/>
      <w:lvlJc w:val="right"/>
      <w:pPr>
        <w:widowControl w:val="1"/>
        <w:ind w:hanging="180" w:left="4320"/>
      </w:pPr>
    </w:lvl>
    <w:lvl w:ilvl="6">
      <w:start w:val="1"/>
      <w:numFmt w:val="decimal"/>
      <w:lvlText w:val="%7."/>
      <w:lvlJc w:val="left"/>
      <w:pPr>
        <w:widowControl w:val="1"/>
        <w:ind w:hanging="360" w:left="5040"/>
      </w:pPr>
    </w:lvl>
    <w:lvl w:ilvl="7">
      <w:start w:val="1"/>
      <w:numFmt w:val="lowerLetter"/>
      <w:lvlText w:val="%8."/>
      <w:lvlJc w:val="left"/>
      <w:pPr>
        <w:widowControl w:val="1"/>
        <w:ind w:hanging="360" w:left="5760"/>
      </w:pPr>
    </w:lvl>
    <w:lvl w:ilvl="8">
      <w:start w:val="1"/>
      <w:numFmt w:val="lowerRoman"/>
      <w:lvlText w:val="%9."/>
      <w:lvlJc w:val="right"/>
      <w:pPr>
        <w:widowControl w:val="1"/>
        <w:ind w:hanging="180" w:left="6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  <w:pPr>
      <w:widowControl w:val="1"/>
      <w:spacing w:after="200" w:line="276" w:lineRule="auto"/>
      <w:ind/>
    </w:pPr>
    <w:rPr>
      <w:sz w:val="28"/>
    </w:rPr>
  </w:style>
  <w:style w:default="1" w:styleId="Style_3_ch" w:type="character">
    <w:name w:val="Normal"/>
    <w:link w:val="Style_3"/>
    <w:rPr>
      <w:sz w:val="28"/>
    </w:rPr>
  </w:style>
  <w:style w:styleId="Style_4" w:type="paragraph">
    <w:name w:val="toc 2"/>
    <w:next w:val="Style_3"/>
    <w:link w:val="Style_4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toc 4"/>
    <w:next w:val="Style_3"/>
    <w:link w:val="Style_5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toc 6"/>
    <w:next w:val="Style_3"/>
    <w:link w:val="Style_6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3"/>
    <w:link w:val="Style_7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Проектный"/>
    <w:basedOn w:val="Style_3"/>
    <w:link w:val="Style_8_ch"/>
    <w:pPr>
      <w:widowControl w:val="1"/>
      <w:spacing w:after="120" w:line="360" w:lineRule="auto"/>
      <w:ind w:firstLine="709"/>
      <w:jc w:val="both"/>
    </w:pPr>
  </w:style>
  <w:style w:styleId="Style_8_ch" w:type="character">
    <w:name w:val="Проектный"/>
    <w:basedOn w:val="Style_3_ch"/>
    <w:link w:val="Style_8"/>
  </w:style>
  <w:style w:styleId="Style_9" w:type="paragraph">
    <w:name w:val="Endnote"/>
    <w:link w:val="Style_9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3"/>
    <w:link w:val="Style_10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Body Text Indent"/>
    <w:basedOn w:val="Style_3"/>
    <w:link w:val="Style_11_ch"/>
    <w:pPr>
      <w:widowControl w:val="1"/>
      <w:spacing w:after="120"/>
      <w:ind w:left="283"/>
    </w:pPr>
  </w:style>
  <w:style w:styleId="Style_11_ch" w:type="character">
    <w:name w:val="Body Text Indent"/>
    <w:basedOn w:val="Style_3_ch"/>
    <w:link w:val="Style_11"/>
  </w:style>
  <w:style w:styleId="Style_12" w:type="paragraph">
    <w:name w:val="Рабочий"/>
    <w:basedOn w:val="Style_3"/>
    <w:link w:val="Style_12_ch"/>
    <w:pPr>
      <w:widowControl w:val="1"/>
      <w:spacing w:after="0" w:line="360" w:lineRule="auto"/>
      <w:ind w:firstLine="709"/>
      <w:jc w:val="both"/>
    </w:pPr>
    <w:rPr>
      <w:sz w:val="24"/>
    </w:rPr>
  </w:style>
  <w:style w:styleId="Style_12_ch" w:type="character">
    <w:name w:val="Рабочий"/>
    <w:basedOn w:val="Style_3_ch"/>
    <w:link w:val="Style_12"/>
    <w:rPr>
      <w:sz w:val="24"/>
    </w:rPr>
  </w:style>
  <w:style w:styleId="Style_13" w:type="paragraph">
    <w:name w:val="Default Paragraph Font"/>
    <w:link w:val="Style_13_ch"/>
  </w:style>
  <w:style w:styleId="Style_13_ch" w:type="character">
    <w:name w:val="Default Paragraph Font"/>
    <w:link w:val="Style_13"/>
  </w:style>
  <w:style w:styleId="Style_2" w:type="paragraph">
    <w:name w:val="No Spacing"/>
    <w:link w:val="Style_2_ch"/>
    <w:rPr>
      <w:sz w:val="28"/>
    </w:rPr>
  </w:style>
  <w:style w:styleId="Style_2_ch" w:type="character">
    <w:name w:val="No Spacing"/>
    <w:link w:val="Style_2"/>
    <w:rPr>
      <w:sz w:val="28"/>
    </w:rPr>
  </w:style>
  <w:style w:styleId="Style_14" w:type="paragraph">
    <w:name w:val="toc 3"/>
    <w:next w:val="Style_3"/>
    <w:link w:val="Style_14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4_ch" w:type="character">
    <w:name w:val="toc 3"/>
    <w:link w:val="Style_14"/>
    <w:rPr>
      <w:rFonts w:ascii="XO Thames" w:hAnsi="XO Thames"/>
      <w:sz w:val="28"/>
    </w:rPr>
  </w:style>
  <w:style w:styleId="Style_15" w:type="paragraph">
    <w:name w:val="header"/>
    <w:basedOn w:val="Style_3"/>
    <w:link w:val="Style_15_ch"/>
    <w:pPr>
      <w:widowControl w:val="1"/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15_ch" w:type="character">
    <w:name w:val="header"/>
    <w:basedOn w:val="Style_3_ch"/>
    <w:link w:val="Style_15"/>
  </w:style>
  <w:style w:styleId="Style_16" w:type="paragraph">
    <w:name w:val="heading 5"/>
    <w:next w:val="Style_3"/>
    <w:link w:val="Style_16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6_ch" w:type="character">
    <w:name w:val="heading 5"/>
    <w:link w:val="Style_16"/>
    <w:rPr>
      <w:rFonts w:ascii="XO Thames" w:hAnsi="XO Thames"/>
      <w:b w:val="1"/>
      <w:sz w:val="22"/>
    </w:rPr>
  </w:style>
  <w:style w:styleId="Style_17" w:type="paragraph">
    <w:name w:val="heading 1"/>
    <w:basedOn w:val="Style_3"/>
    <w:next w:val="Style_3"/>
    <w:link w:val="Style_17_ch"/>
    <w:uiPriority w:val="9"/>
    <w:qFormat/>
    <w:pPr>
      <w:keepNext w:val="1"/>
      <w:widowControl w:val="1"/>
      <w:spacing w:after="0" w:line="240" w:lineRule="auto"/>
      <w:ind/>
      <w:outlineLvl w:val="0"/>
    </w:pPr>
  </w:style>
  <w:style w:styleId="Style_17_ch" w:type="character">
    <w:name w:val="heading 1"/>
    <w:basedOn w:val="Style_3_ch"/>
    <w:link w:val="Style_17"/>
  </w:style>
  <w:style w:styleId="Style_18" w:type="paragraph">
    <w:name w:val="Body Text"/>
    <w:basedOn w:val="Style_3"/>
    <w:link w:val="Style_18_ch"/>
    <w:pPr>
      <w:widowControl w:val="1"/>
      <w:spacing w:after="0" w:line="360" w:lineRule="auto"/>
      <w:ind/>
      <w:jc w:val="both"/>
    </w:pPr>
  </w:style>
  <w:style w:styleId="Style_18_ch" w:type="character">
    <w:name w:val="Body Text"/>
    <w:basedOn w:val="Style_3_ch"/>
    <w:link w:val="Style_18"/>
  </w:style>
  <w:style w:styleId="Style_19" w:type="paragraph">
    <w:name w:val="Hyperlink"/>
    <w:link w:val="Style_19_ch"/>
    <w:rPr>
      <w:color w:val="0000FF"/>
      <w:u w:val="single"/>
    </w:rPr>
  </w:style>
  <w:style w:styleId="Style_19_ch" w:type="character">
    <w:name w:val="Hyperlink"/>
    <w:link w:val="Style_19"/>
    <w:rPr>
      <w:color w:val="0000FF"/>
      <w:u w:val="single"/>
    </w:rPr>
  </w:style>
  <w:style w:styleId="Style_20" w:type="paragraph">
    <w:name w:val="Footnote"/>
    <w:link w:val="Style_20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20_ch" w:type="character">
    <w:name w:val="Footnote"/>
    <w:link w:val="Style_20"/>
    <w:rPr>
      <w:rFonts w:ascii="XO Thames" w:hAnsi="XO Thames"/>
      <w:sz w:val="22"/>
    </w:rPr>
  </w:style>
  <w:style w:styleId="Style_21" w:type="paragraph">
    <w:name w:val="toc 1"/>
    <w:next w:val="Style_3"/>
    <w:link w:val="Style_21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21_ch" w:type="character">
    <w:name w:val="toc 1"/>
    <w:link w:val="Style_21"/>
    <w:rPr>
      <w:rFonts w:ascii="XO Thames" w:hAnsi="XO Thames"/>
      <w:b w:val="1"/>
      <w:sz w:val="28"/>
    </w:rPr>
  </w:style>
  <w:style w:styleId="Style_22" w:type="paragraph">
    <w:name w:val="Header and Footer"/>
    <w:link w:val="Style_22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22_ch" w:type="character">
    <w:name w:val="Header and Footer"/>
    <w:link w:val="Style_22"/>
    <w:rPr>
      <w:rFonts w:ascii="XO Thames" w:hAnsi="XO Thames"/>
      <w:sz w:val="28"/>
    </w:rPr>
  </w:style>
  <w:style w:styleId="Style_23" w:type="paragraph">
    <w:name w:val="toc 9"/>
    <w:next w:val="Style_3"/>
    <w:link w:val="Style_23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23_ch" w:type="character">
    <w:name w:val="toc 9"/>
    <w:link w:val="Style_23"/>
    <w:rPr>
      <w:rFonts w:ascii="XO Thames" w:hAnsi="XO Thames"/>
      <w:sz w:val="28"/>
    </w:rPr>
  </w:style>
  <w:style w:styleId="Style_24" w:type="paragraph">
    <w:name w:val="Текст 14-1.5.Стиль12-1"/>
    <w:basedOn w:val="Style_3"/>
    <w:link w:val="Style_24_ch"/>
    <w:pPr>
      <w:widowControl w:val="1"/>
      <w:spacing w:after="0" w:line="360" w:lineRule="auto"/>
      <w:ind w:firstLine="709"/>
      <w:jc w:val="both"/>
    </w:pPr>
    <w:rPr>
      <w:sz w:val="24"/>
    </w:rPr>
  </w:style>
  <w:style w:styleId="Style_24_ch" w:type="character">
    <w:name w:val="Текст 14-1.5.Стиль12-1"/>
    <w:basedOn w:val="Style_3_ch"/>
    <w:link w:val="Style_24"/>
    <w:rPr>
      <w:sz w:val="24"/>
    </w:rPr>
  </w:style>
  <w:style w:styleId="Style_25" w:type="paragraph">
    <w:name w:val="toc 8"/>
    <w:next w:val="Style_3"/>
    <w:link w:val="Style_25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25_ch" w:type="character">
    <w:name w:val="toc 8"/>
    <w:link w:val="Style_25"/>
    <w:rPr>
      <w:rFonts w:ascii="XO Thames" w:hAnsi="XO Thames"/>
      <w:sz w:val="28"/>
    </w:rPr>
  </w:style>
  <w:style w:styleId="Style_26" w:type="paragraph">
    <w:name w:val="toc 5"/>
    <w:next w:val="Style_3"/>
    <w:link w:val="Style_26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26_ch" w:type="character">
    <w:name w:val="toc 5"/>
    <w:link w:val="Style_26"/>
    <w:rPr>
      <w:rFonts w:ascii="XO Thames" w:hAnsi="XO Thames"/>
      <w:sz w:val="28"/>
    </w:rPr>
  </w:style>
  <w:style w:styleId="Style_27" w:type="paragraph">
    <w:name w:val="Subtitle"/>
    <w:basedOn w:val="Style_3"/>
    <w:link w:val="Style_27_ch"/>
    <w:uiPriority w:val="11"/>
    <w:qFormat/>
    <w:pPr>
      <w:widowControl w:val="1"/>
      <w:spacing w:after="0" w:line="240" w:lineRule="auto"/>
      <w:ind/>
      <w:jc w:val="center"/>
    </w:pPr>
    <w:rPr>
      <w:b w:val="1"/>
      <w:u w:val="single"/>
    </w:rPr>
  </w:style>
  <w:style w:styleId="Style_27_ch" w:type="character">
    <w:name w:val="Subtitle"/>
    <w:basedOn w:val="Style_3_ch"/>
    <w:link w:val="Style_27"/>
    <w:rPr>
      <w:b w:val="1"/>
      <w:u w:val="single"/>
    </w:rPr>
  </w:style>
  <w:style w:styleId="Style_28" w:type="paragraph">
    <w:name w:val="Title"/>
    <w:basedOn w:val="Style_3"/>
    <w:link w:val="Style_28_ch"/>
    <w:uiPriority w:val="10"/>
    <w:qFormat/>
    <w:pPr>
      <w:widowControl w:val="1"/>
      <w:spacing w:after="0" w:line="240" w:lineRule="auto"/>
      <w:ind/>
      <w:jc w:val="center"/>
    </w:pPr>
  </w:style>
  <w:style w:styleId="Style_28_ch" w:type="character">
    <w:name w:val="Title"/>
    <w:basedOn w:val="Style_3_ch"/>
    <w:link w:val="Style_28"/>
  </w:style>
  <w:style w:styleId="Style_29" w:type="paragraph">
    <w:name w:val="heading 4"/>
    <w:next w:val="Style_3"/>
    <w:link w:val="Style_29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9_ch" w:type="character">
    <w:name w:val="heading 4"/>
    <w:link w:val="Style_29"/>
    <w:rPr>
      <w:rFonts w:ascii="XO Thames" w:hAnsi="XO Thames"/>
      <w:b w:val="1"/>
      <w:sz w:val="24"/>
    </w:rPr>
  </w:style>
  <w:style w:styleId="Style_30" w:type="paragraph">
    <w:name w:val="heading 2"/>
    <w:next w:val="Style_3"/>
    <w:link w:val="Style_30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0_ch" w:type="character">
    <w:name w:val="heading 2"/>
    <w:link w:val="Style_30"/>
    <w:rPr>
      <w:rFonts w:ascii="XO Thames" w:hAnsi="XO Thames"/>
      <w:b w:val="1"/>
      <w:sz w:val="28"/>
    </w:rPr>
  </w:style>
  <w:style w:styleId="Style_31" w:type="paragraph">
    <w:name w:val="Содерж"/>
    <w:basedOn w:val="Style_3"/>
    <w:link w:val="Style_31_ch"/>
    <w:pPr>
      <w:keepNext w:val="1"/>
      <w:widowControl w:val="1"/>
      <w:spacing w:after="120" w:line="240" w:lineRule="auto"/>
      <w:ind/>
      <w:jc w:val="center"/>
    </w:pPr>
    <w:rPr>
      <w:b w:val="1"/>
    </w:rPr>
  </w:style>
  <w:style w:styleId="Style_31_ch" w:type="character">
    <w:name w:val="Содерж"/>
    <w:basedOn w:val="Style_3_ch"/>
    <w:link w:val="Style_31"/>
    <w:rPr>
      <w:b w:val="1"/>
    </w:r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32" w:type="table">
    <w:name w:val="Table Grid"/>
    <w:basedOn w:val="Style_1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8" Target="numbering.xml" Type="http://schemas.openxmlformats.org/officeDocument/2006/relationships/numbering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2025-07-01T10:07:14Z</dcterms:created>
  <dcterms:modified xsi:type="dcterms:W3CDTF">2026-07-01T13:46:54Z</dcterms:modified>
</cp:coreProperties>
</file>