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b w:val="1"/>
        </w:rPr>
      </w:pPr>
      <w:r>
        <w:rPr>
          <w:b w:val="1"/>
        </w:rPr>
        <w:drawing>
          <wp:inline>
            <wp:extent cx="476123" cy="545338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476123" cy="54533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3000000">
      <w:pPr>
        <w:ind/>
        <w:jc w:val="center"/>
        <w:rPr>
          <w:b w:val="1"/>
        </w:rPr>
      </w:pPr>
      <w:r>
        <w:rPr>
          <w:b w:val="1"/>
        </w:rPr>
        <w:t>ГОРОДА ТАГАНРОГА (ЗАПАДНАЯ) РОСТОВСКОЙ ОБЛАСТИ</w:t>
      </w:r>
    </w:p>
    <w:p w14:paraId="04000000">
      <w:pPr>
        <w:ind/>
        <w:jc w:val="center"/>
        <w:rPr>
          <w:b w:val="1"/>
          <w:sz w:val="16"/>
        </w:rPr>
      </w:pPr>
    </w:p>
    <w:p w14:paraId="05000000">
      <w:pPr>
        <w:ind/>
        <w:jc w:val="center"/>
        <w:rPr>
          <w:b w:val="1"/>
        </w:rPr>
      </w:pPr>
    </w:p>
    <w:p w14:paraId="06000000">
      <w:pPr>
        <w:ind/>
        <w:jc w:val="center"/>
        <w:rPr>
          <w:b w:val="1"/>
          <w:i w:val="1"/>
        </w:rPr>
      </w:pPr>
      <w:r>
        <w:rPr>
          <w:b w:val="1"/>
        </w:rPr>
        <w:t>ПОСТАНОВЛЕНИЕ</w:t>
      </w:r>
      <w:r>
        <w:rPr>
          <w:b w:val="1"/>
          <w:i w:val="1"/>
        </w:rPr>
        <w:t xml:space="preserve"> </w:t>
      </w:r>
    </w:p>
    <w:p w14:paraId="07000000">
      <w:pPr>
        <w:ind/>
        <w:jc w:val="center"/>
        <w:rPr>
          <w:b w:val="1"/>
        </w:rPr>
      </w:pPr>
    </w:p>
    <w:p w14:paraId="08000000">
      <w:pPr>
        <w:ind/>
        <w:jc w:val="center"/>
      </w:pPr>
      <w:r>
        <w:t xml:space="preserve">28 июня 2023 г.                                                    </w:t>
      </w:r>
      <w:r>
        <w:t xml:space="preserve">      </w:t>
      </w:r>
      <w:r>
        <w:tab/>
      </w:r>
      <w:r>
        <w:t xml:space="preserve">  </w:t>
      </w:r>
      <w:r>
        <w:tab/>
      </w:r>
      <w:r>
        <w:t xml:space="preserve">                № 49-3</w:t>
      </w:r>
    </w:p>
    <w:p w14:paraId="09000000">
      <w:pPr>
        <w:ind/>
        <w:jc w:val="center"/>
      </w:pPr>
      <w:r>
        <w:t>г. Таганрог</w:t>
      </w:r>
    </w:p>
    <w:p w14:paraId="0A000000">
      <w:pPr>
        <w:ind/>
        <w:jc w:val="center"/>
      </w:pPr>
    </w:p>
    <w:p w14:paraId="0B000000">
      <w:pPr>
        <w:ind w:firstLine="0" w:left="1701" w:right="1416"/>
        <w:jc w:val="both"/>
        <w:rPr>
          <w:b w:val="1"/>
        </w:rPr>
      </w:pPr>
      <w:r>
        <w:rPr>
          <w:b w:val="1"/>
        </w:rPr>
        <w:t xml:space="preserve">О Рабочей группе Территориальной избирательной комиссии </w:t>
      </w:r>
      <w:r>
        <w:rPr>
          <w:b w:val="1"/>
        </w:rPr>
        <w:t>города Таганрога (западная) Ростовской области</w:t>
      </w:r>
      <w:r>
        <w:rPr>
          <w:b w:val="1"/>
        </w:rPr>
        <w:t xml:space="preserve"> </w:t>
      </w:r>
      <w:r>
        <w:rPr>
          <w:b w:val="1"/>
        </w:rPr>
        <w:t xml:space="preserve">по информационным спорам и иным вопросам информационного обеспечения </w:t>
      </w:r>
      <w:r>
        <w:rPr>
          <w:b w:val="1"/>
        </w:rPr>
        <w:t>выбор</w:t>
      </w:r>
      <w:r>
        <w:rPr>
          <w:b w:val="1"/>
        </w:rPr>
        <w:t>ов</w:t>
      </w:r>
      <w:r>
        <w:rPr>
          <w:b w:val="1"/>
        </w:rPr>
        <w:t xml:space="preserve"> </w:t>
      </w:r>
    </w:p>
    <w:p w14:paraId="0C000000">
      <w:pPr>
        <w:ind w:firstLine="0" w:left="1701" w:right="1416"/>
        <w:jc w:val="both"/>
        <w:rPr>
          <w:b w:val="1"/>
        </w:rPr>
      </w:pPr>
    </w:p>
    <w:p w14:paraId="0D000000">
      <w:pPr>
        <w:spacing w:line="276" w:lineRule="auto"/>
        <w:ind w:firstLine="709" w:left="0"/>
        <w:jc w:val="both"/>
      </w:pPr>
      <w:r>
        <w:t xml:space="preserve">В соответствии с </w:t>
      </w:r>
      <w:r>
        <w:t>пункт</w:t>
      </w:r>
      <w:r>
        <w:t>ом</w:t>
      </w:r>
      <w:r>
        <w:t xml:space="preserve"> 9 статьи 26 Федерального закона </w:t>
      </w:r>
      <w:r>
        <w:br/>
      </w:r>
      <w:r>
        <w:t xml:space="preserve">от 12.06.2002 № 67-ФЗ «Об основных гарантиях избирательных прав и права </w:t>
      </w:r>
      <w:r>
        <w:br/>
      </w:r>
      <w:r>
        <w:t xml:space="preserve">на участие в референдуме граждан Российской Федерации», </w:t>
      </w:r>
      <w:r>
        <w:t xml:space="preserve">                               </w:t>
      </w:r>
      <w:r>
        <w:t>частью 13</w:t>
      </w:r>
      <w:r>
        <w:t xml:space="preserve"> </w:t>
      </w:r>
      <w:r>
        <w:t>статьи 17</w:t>
      </w:r>
      <w:r>
        <w:t xml:space="preserve"> </w:t>
      </w:r>
      <w:r>
        <w:t xml:space="preserve">Областного закона от 12.05.2016 № 525-ЗС «О выборах </w:t>
      </w:r>
      <w:r>
        <w:br/>
      </w:r>
      <w:r>
        <w:t xml:space="preserve">и референдумах в Ростовской области», в целях реализации полномочий Территориальной избирательной комиссии </w:t>
      </w:r>
      <w:r>
        <w:t>города Таганрога (западная) Ростовской области</w:t>
      </w:r>
      <w:r>
        <w:t xml:space="preserve"> </w:t>
      </w:r>
      <w: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>
        <w:t xml:space="preserve">при проведении </w:t>
      </w:r>
      <w:r>
        <w:t>выборов</w:t>
      </w:r>
      <w:r>
        <w:t>,</w:t>
      </w:r>
      <w:r>
        <w:t xml:space="preserve"> </w:t>
      </w:r>
      <w:r>
        <w:t xml:space="preserve">Территориальная избирательная комиссия </w:t>
      </w:r>
      <w:r>
        <w:t>города Таганрога (западная) Ростовской области</w:t>
      </w:r>
    </w:p>
    <w:p w14:paraId="0E000000">
      <w:pPr>
        <w:spacing w:line="276" w:lineRule="auto"/>
        <w:ind w:firstLine="709" w:left="0" w:right="-185"/>
        <w:jc w:val="center"/>
      </w:pPr>
    </w:p>
    <w:p w14:paraId="0F000000">
      <w:pPr>
        <w:spacing w:line="276" w:lineRule="auto"/>
        <w:ind w:firstLine="709" w:left="0" w:right="-185"/>
        <w:jc w:val="center"/>
      </w:pPr>
      <w:r>
        <w:t>ПОСТАНОВЛЯЕТ:</w:t>
      </w:r>
    </w:p>
    <w:p w14:paraId="10000000">
      <w:pPr>
        <w:spacing w:line="276" w:lineRule="auto"/>
        <w:ind w:firstLine="709" w:left="0"/>
        <w:jc w:val="center"/>
      </w:pPr>
    </w:p>
    <w:p w14:paraId="11000000">
      <w:pPr>
        <w:pStyle w:val="Style_1"/>
        <w:numPr>
          <w:ilvl w:val="0"/>
          <w:numId w:val="1"/>
        </w:numPr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Утвердить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Положение о Рабочей группе Территориальной избирательной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по информационным спорам и иным вопросам информационного обеспечения выборов </w:t>
      </w:r>
      <w:r>
        <w:rPr>
          <w:rFonts w:ascii="Times New Roman" w:hAnsi="Times New Roman"/>
          <w:sz w:val="28"/>
        </w:rPr>
        <w:t>согласно приложению № 1.</w:t>
      </w:r>
    </w:p>
    <w:p w14:paraId="12000000">
      <w:pPr>
        <w:pStyle w:val="Style_1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3000000">
      <w:pPr>
        <w:pStyle w:val="Style_1"/>
        <w:numPr>
          <w:ilvl w:val="0"/>
          <w:numId w:val="1"/>
        </w:numPr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Утвердить </w:t>
      </w:r>
      <w:r>
        <w:rPr>
          <w:rFonts w:ascii="Times New Roman" w:hAnsi="Times New Roman"/>
          <w:sz w:val="28"/>
        </w:rPr>
        <w:t xml:space="preserve">состав Рабочей группы 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по информационным спорам и иным вопросам информационного обеспечения выборов </w:t>
      </w:r>
      <w:r>
        <w:rPr>
          <w:rFonts w:ascii="Times New Roman" w:hAnsi="Times New Roman"/>
          <w:sz w:val="28"/>
        </w:rPr>
        <w:t xml:space="preserve">согласно приложению № 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</w:t>
      </w:r>
    </w:p>
    <w:p w14:paraId="14000000">
      <w:pPr>
        <w:pStyle w:val="Style_1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pStyle w:val="Style_1"/>
        <w:numPr>
          <w:ilvl w:val="0"/>
          <w:numId w:val="1"/>
        </w:numPr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в информационно – телекоммуникационной сети «Интернет».</w:t>
      </w:r>
    </w:p>
    <w:p w14:paraId="16000000">
      <w:pPr>
        <w:pStyle w:val="Style_1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7000000">
      <w:pPr>
        <w:pStyle w:val="Style_1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8000000">
      <w:pPr>
        <w:pStyle w:val="Style_1"/>
        <w:numPr>
          <w:ilvl w:val="0"/>
          <w:numId w:val="1"/>
        </w:numPr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на секретаря Территориальной избирательной комиссии 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  <w:r>
        <w:rPr>
          <w:rFonts w:ascii="Times New Roman" w:hAnsi="Times New Roman"/>
          <w:sz w:val="28"/>
        </w:rPr>
        <w:t xml:space="preserve"> О.Н. Странадко</w:t>
      </w:r>
      <w:r>
        <w:rPr>
          <w:rFonts w:ascii="Times New Roman" w:hAnsi="Times New Roman"/>
          <w:sz w:val="28"/>
        </w:rPr>
        <w:t>.</w:t>
      </w:r>
    </w:p>
    <w:p w14:paraId="19000000">
      <w:pPr>
        <w:pStyle w:val="Style_1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A000000">
      <w:pPr>
        <w:pStyle w:val="Style_1"/>
        <w:ind/>
        <w:jc w:val="both"/>
        <w:rPr>
          <w:rFonts w:ascii="Times New Roman" w:hAnsi="Times New Roman"/>
          <w:sz w:val="28"/>
        </w:rPr>
      </w:pPr>
    </w:p>
    <w:p w14:paraId="1B000000">
      <w:pPr>
        <w:pStyle w:val="Style_1"/>
        <w:ind/>
        <w:jc w:val="both"/>
        <w:rPr>
          <w:rFonts w:ascii="Times New Roman" w:hAnsi="Times New Roman"/>
          <w:sz w:val="28"/>
        </w:rPr>
      </w:pPr>
    </w:p>
    <w:p w14:paraId="1C000000"/>
    <w:tbl>
      <w:tblPr>
        <w:tblStyle w:val="Style_2"/>
        <w:tblLayout w:type="fixed"/>
      </w:tblPr>
      <w:tblGrid>
        <w:gridCol w:w="3274"/>
        <w:gridCol w:w="3638"/>
        <w:gridCol w:w="2911"/>
      </w:tblGrid>
      <w:tr>
        <w:trPr>
          <w:trHeight w:hRule="atLeast" w:val="779"/>
        </w:trPr>
        <w:tc>
          <w:tcPr>
            <w:tcW w:type="dxa" w:w="3274"/>
            <w:shd w:fill="auto" w:val="clear"/>
          </w:tcPr>
          <w:p w14:paraId="1D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</w:pPr>
            <w:r>
              <w:t xml:space="preserve">Председатель комиссии                                                                     </w:t>
            </w:r>
          </w:p>
        </w:tc>
        <w:tc>
          <w:tcPr>
            <w:tcW w:type="dxa" w:w="3638"/>
            <w:shd w:fill="auto" w:val="clear"/>
          </w:tcPr>
          <w:p w14:paraId="1E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</w:pPr>
            <w:r>
              <w:t xml:space="preserve">  </w:t>
            </w:r>
          </w:p>
        </w:tc>
        <w:tc>
          <w:tcPr>
            <w:tcW w:type="dxa" w:w="2911"/>
            <w:shd w:fill="auto" w:val="clear"/>
          </w:tcPr>
          <w:p w14:paraId="1F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</w:pPr>
            <w:r>
              <w:t>А.М. Ищенко</w:t>
            </w:r>
          </w:p>
        </w:tc>
      </w:tr>
      <w:tr>
        <w:trPr>
          <w:trHeight w:hRule="atLeast" w:val="454"/>
        </w:trPr>
        <w:tc>
          <w:tcPr>
            <w:tcW w:type="dxa" w:w="3274"/>
            <w:shd w:fill="auto" w:val="clear"/>
          </w:tcPr>
          <w:p w14:paraId="20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</w:pPr>
            <w:r>
              <w:t xml:space="preserve">Секретарь комиссии                                                                  </w:t>
            </w:r>
          </w:p>
        </w:tc>
        <w:tc>
          <w:tcPr>
            <w:tcW w:type="dxa" w:w="3638"/>
            <w:shd w:fill="auto" w:val="clear"/>
          </w:tcPr>
          <w:p w14:paraId="21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</w:pPr>
          </w:p>
        </w:tc>
        <w:tc>
          <w:tcPr>
            <w:tcW w:type="dxa" w:w="2911"/>
            <w:shd w:fill="auto" w:val="clear"/>
          </w:tcPr>
          <w:p w14:paraId="22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</w:pPr>
            <w:r>
              <w:t>О.Н. Странадко</w:t>
            </w:r>
          </w:p>
        </w:tc>
      </w:tr>
    </w:tbl>
    <w:p w14:paraId="23000000"/>
    <w:p w14:paraId="24000000">
      <w:pPr>
        <w:widowControl w:val="0"/>
        <w:ind w:firstLine="0" w:left="5812"/>
        <w:jc w:val="center"/>
      </w:pPr>
    </w:p>
    <w:p w14:paraId="25000000">
      <w:pPr>
        <w:widowControl w:val="0"/>
        <w:ind w:firstLine="0" w:left="5812"/>
        <w:jc w:val="center"/>
      </w:pPr>
    </w:p>
    <w:p w14:paraId="26000000">
      <w:pPr>
        <w:widowControl w:val="0"/>
        <w:ind w:firstLine="0" w:left="5812"/>
        <w:jc w:val="center"/>
      </w:pPr>
    </w:p>
    <w:p w14:paraId="27000000">
      <w:pPr>
        <w:widowControl w:val="0"/>
        <w:ind w:firstLine="0" w:left="5812"/>
        <w:jc w:val="center"/>
      </w:pPr>
    </w:p>
    <w:p w14:paraId="28000000">
      <w:pPr>
        <w:widowControl w:val="0"/>
        <w:ind w:firstLine="0" w:left="5812"/>
        <w:jc w:val="center"/>
      </w:pPr>
    </w:p>
    <w:p w14:paraId="29000000">
      <w:pPr>
        <w:widowControl w:val="0"/>
        <w:ind w:firstLine="0" w:left="5812"/>
        <w:jc w:val="center"/>
      </w:pPr>
    </w:p>
    <w:p w14:paraId="2A000000">
      <w:pPr>
        <w:widowControl w:val="0"/>
        <w:ind w:firstLine="0" w:left="5812"/>
        <w:jc w:val="center"/>
      </w:pPr>
    </w:p>
    <w:p w14:paraId="2B000000">
      <w:pPr>
        <w:widowControl w:val="0"/>
        <w:ind w:firstLine="0" w:left="5812"/>
        <w:jc w:val="center"/>
      </w:pPr>
    </w:p>
    <w:p w14:paraId="2C000000">
      <w:pPr>
        <w:widowControl w:val="0"/>
        <w:ind w:firstLine="0" w:left="5812"/>
        <w:jc w:val="center"/>
      </w:pPr>
    </w:p>
    <w:p w14:paraId="2D000000">
      <w:pPr>
        <w:widowControl w:val="0"/>
        <w:ind w:firstLine="0" w:left="5812"/>
        <w:jc w:val="center"/>
      </w:pPr>
    </w:p>
    <w:p w14:paraId="2E000000">
      <w:pPr>
        <w:widowControl w:val="0"/>
        <w:ind w:firstLine="0" w:left="5812"/>
        <w:jc w:val="center"/>
      </w:pPr>
    </w:p>
    <w:p w14:paraId="2F000000">
      <w:pPr>
        <w:widowControl w:val="0"/>
        <w:ind w:firstLine="0" w:left="5812"/>
        <w:jc w:val="center"/>
      </w:pPr>
    </w:p>
    <w:p w14:paraId="30000000">
      <w:pPr>
        <w:widowControl w:val="0"/>
        <w:ind w:firstLine="0" w:left="5812"/>
        <w:jc w:val="center"/>
      </w:pPr>
    </w:p>
    <w:p w14:paraId="31000000">
      <w:pPr>
        <w:widowControl w:val="0"/>
        <w:ind w:firstLine="0" w:left="5954"/>
        <w:jc w:val="center"/>
        <w:rPr>
          <w:sz w:val="24"/>
        </w:rPr>
      </w:pPr>
    </w:p>
    <w:p w14:paraId="32000000">
      <w:pPr>
        <w:widowControl w:val="0"/>
        <w:ind w:firstLine="0" w:left="5954"/>
        <w:jc w:val="center"/>
        <w:rPr>
          <w:sz w:val="24"/>
        </w:rPr>
      </w:pPr>
    </w:p>
    <w:p w14:paraId="33000000">
      <w:pPr>
        <w:widowControl w:val="0"/>
        <w:ind w:firstLine="0" w:left="5954"/>
        <w:jc w:val="center"/>
        <w:rPr>
          <w:sz w:val="24"/>
        </w:rPr>
      </w:pPr>
    </w:p>
    <w:p w14:paraId="34000000">
      <w:pPr>
        <w:widowControl w:val="0"/>
        <w:ind w:firstLine="0" w:left="5954"/>
        <w:jc w:val="center"/>
        <w:rPr>
          <w:sz w:val="24"/>
        </w:rPr>
      </w:pPr>
    </w:p>
    <w:p w14:paraId="35000000">
      <w:pPr>
        <w:widowControl w:val="0"/>
        <w:ind w:firstLine="0" w:left="5954"/>
        <w:jc w:val="center"/>
        <w:rPr>
          <w:sz w:val="24"/>
        </w:rPr>
      </w:pPr>
    </w:p>
    <w:p w14:paraId="36000000">
      <w:pPr>
        <w:widowControl w:val="0"/>
        <w:ind w:firstLine="0" w:left="5954"/>
        <w:jc w:val="center"/>
        <w:rPr>
          <w:sz w:val="24"/>
        </w:rPr>
      </w:pPr>
    </w:p>
    <w:p w14:paraId="37000000">
      <w:pPr>
        <w:widowControl w:val="0"/>
        <w:ind w:firstLine="0" w:left="5954"/>
        <w:jc w:val="center"/>
        <w:rPr>
          <w:sz w:val="24"/>
        </w:rPr>
      </w:pPr>
    </w:p>
    <w:p w14:paraId="38000000">
      <w:pPr>
        <w:widowControl w:val="0"/>
        <w:ind w:firstLine="0" w:left="5954"/>
        <w:jc w:val="center"/>
        <w:rPr>
          <w:sz w:val="24"/>
        </w:rPr>
      </w:pPr>
    </w:p>
    <w:p w14:paraId="39000000">
      <w:pPr>
        <w:widowControl w:val="0"/>
        <w:ind w:firstLine="0" w:left="5954"/>
        <w:jc w:val="center"/>
        <w:rPr>
          <w:sz w:val="24"/>
        </w:rPr>
      </w:pPr>
    </w:p>
    <w:p w14:paraId="3A000000">
      <w:pPr>
        <w:widowControl w:val="0"/>
        <w:ind w:firstLine="0" w:left="5954"/>
        <w:jc w:val="center"/>
        <w:rPr>
          <w:sz w:val="24"/>
        </w:rPr>
      </w:pPr>
    </w:p>
    <w:p w14:paraId="3B000000">
      <w:pPr>
        <w:widowControl w:val="0"/>
        <w:ind w:firstLine="0" w:left="5954"/>
        <w:jc w:val="center"/>
        <w:rPr>
          <w:sz w:val="24"/>
        </w:rPr>
      </w:pPr>
    </w:p>
    <w:p w14:paraId="3C000000">
      <w:pPr>
        <w:widowControl w:val="0"/>
        <w:ind w:firstLine="0" w:left="5954"/>
        <w:jc w:val="center"/>
        <w:rPr>
          <w:sz w:val="24"/>
        </w:rPr>
      </w:pPr>
    </w:p>
    <w:p w14:paraId="3D000000">
      <w:pPr>
        <w:widowControl w:val="0"/>
        <w:ind w:firstLine="0" w:left="5954"/>
        <w:jc w:val="center"/>
        <w:rPr>
          <w:sz w:val="24"/>
        </w:rPr>
      </w:pPr>
    </w:p>
    <w:p w14:paraId="3E000000">
      <w:pPr>
        <w:widowControl w:val="0"/>
        <w:ind w:firstLine="0" w:left="5954"/>
        <w:jc w:val="center"/>
        <w:rPr>
          <w:sz w:val="24"/>
        </w:rPr>
      </w:pPr>
    </w:p>
    <w:p w14:paraId="3F000000">
      <w:pPr>
        <w:widowControl w:val="0"/>
        <w:ind w:firstLine="0" w:left="5954"/>
        <w:jc w:val="center"/>
        <w:rPr>
          <w:sz w:val="24"/>
        </w:rPr>
      </w:pPr>
    </w:p>
    <w:p w14:paraId="40000000">
      <w:pPr>
        <w:widowControl w:val="0"/>
        <w:ind w:firstLine="0" w:left="5954"/>
        <w:jc w:val="center"/>
        <w:rPr>
          <w:sz w:val="24"/>
        </w:rPr>
      </w:pPr>
    </w:p>
    <w:p w14:paraId="41000000">
      <w:pPr>
        <w:widowControl w:val="0"/>
        <w:ind w:firstLine="0" w:left="5954"/>
        <w:jc w:val="center"/>
        <w:rPr>
          <w:sz w:val="24"/>
        </w:rPr>
      </w:pPr>
    </w:p>
    <w:p w14:paraId="42000000">
      <w:pPr>
        <w:widowControl w:val="0"/>
        <w:ind w:firstLine="0" w:left="5954"/>
        <w:jc w:val="center"/>
        <w:rPr>
          <w:sz w:val="24"/>
        </w:rPr>
      </w:pPr>
    </w:p>
    <w:p w14:paraId="43000000">
      <w:pPr>
        <w:widowControl w:val="0"/>
        <w:ind w:firstLine="0" w:left="5954"/>
        <w:jc w:val="center"/>
        <w:rPr>
          <w:sz w:val="24"/>
        </w:rPr>
      </w:pPr>
    </w:p>
    <w:p w14:paraId="44000000">
      <w:pPr>
        <w:widowControl w:val="0"/>
        <w:ind w:firstLine="0" w:left="5954"/>
        <w:jc w:val="center"/>
        <w:rPr>
          <w:sz w:val="24"/>
        </w:rPr>
      </w:pPr>
    </w:p>
    <w:p w14:paraId="45000000">
      <w:pPr>
        <w:widowControl w:val="0"/>
        <w:ind w:firstLine="0" w:left="5954"/>
        <w:jc w:val="center"/>
        <w:rPr>
          <w:sz w:val="24"/>
        </w:rPr>
      </w:pPr>
    </w:p>
    <w:p w14:paraId="46000000">
      <w:pPr>
        <w:widowControl w:val="0"/>
        <w:ind w:firstLine="0" w:left="5954"/>
        <w:jc w:val="center"/>
        <w:rPr>
          <w:sz w:val="24"/>
        </w:rPr>
      </w:pPr>
    </w:p>
    <w:p w14:paraId="47000000">
      <w:pPr>
        <w:widowControl w:val="0"/>
        <w:ind w:firstLine="0" w:left="5954"/>
        <w:jc w:val="center"/>
        <w:rPr>
          <w:sz w:val="24"/>
        </w:rPr>
      </w:pPr>
    </w:p>
    <w:p w14:paraId="48000000">
      <w:pPr>
        <w:widowControl w:val="0"/>
        <w:ind w:firstLine="0" w:left="5954"/>
        <w:jc w:val="center"/>
        <w:rPr>
          <w:sz w:val="24"/>
        </w:rPr>
      </w:pPr>
    </w:p>
    <w:p w14:paraId="49000000">
      <w:pPr>
        <w:widowControl w:val="0"/>
        <w:ind w:firstLine="0" w:left="5954"/>
        <w:jc w:val="center"/>
        <w:rPr>
          <w:sz w:val="24"/>
        </w:rPr>
      </w:pPr>
    </w:p>
    <w:p w14:paraId="4A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 xml:space="preserve">Приложение № </w:t>
      </w:r>
      <w:r>
        <w:rPr>
          <w:sz w:val="24"/>
        </w:rPr>
        <w:t>1</w:t>
      </w:r>
    </w:p>
    <w:p w14:paraId="4B000000">
      <w:pPr>
        <w:widowControl w:val="0"/>
        <w:ind w:firstLine="0" w:left="5954"/>
        <w:jc w:val="center"/>
        <w:rPr>
          <w:sz w:val="24"/>
        </w:rPr>
      </w:pPr>
    </w:p>
    <w:p w14:paraId="4C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>УТВЕРЖДЕН</w:t>
      </w:r>
      <w:r>
        <w:rPr>
          <w:sz w:val="24"/>
        </w:rPr>
        <w:t>О</w:t>
      </w:r>
    </w:p>
    <w:p w14:paraId="4D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 xml:space="preserve">постановлением </w:t>
      </w:r>
      <w:r>
        <w:rPr>
          <w:sz w:val="24"/>
        </w:rPr>
        <w:t xml:space="preserve">                     </w:t>
      </w:r>
      <w:r>
        <w:rPr>
          <w:sz w:val="24"/>
        </w:rPr>
        <w:t>Территориальной и</w:t>
      </w:r>
      <w:r>
        <w:rPr>
          <w:sz w:val="24"/>
        </w:rPr>
        <w:t xml:space="preserve">збирательной комиссии </w:t>
      </w:r>
      <w:r>
        <w:rPr>
          <w:sz w:val="24"/>
        </w:rPr>
        <w:t xml:space="preserve">города Таганрога (западная) Ростовской области </w:t>
      </w:r>
      <w:r>
        <w:rPr>
          <w:sz w:val="24"/>
        </w:rPr>
        <w:t>от 28</w:t>
      </w:r>
      <w:r>
        <w:rPr>
          <w:sz w:val="24"/>
        </w:rPr>
        <w:t>.06.202</w:t>
      </w:r>
      <w:r>
        <w:rPr>
          <w:sz w:val="24"/>
        </w:rPr>
        <w:t>3</w:t>
      </w:r>
      <w:r>
        <w:rPr>
          <w:sz w:val="24"/>
        </w:rPr>
        <w:t xml:space="preserve"> № 49-3</w:t>
      </w:r>
    </w:p>
    <w:p w14:paraId="4E000000">
      <w:pPr>
        <w:ind w:firstLine="0" w:left="5670"/>
      </w:pPr>
    </w:p>
    <w:p w14:paraId="4F000000">
      <w:pPr>
        <w:ind w:firstLine="0" w:left="5670"/>
      </w:pPr>
    </w:p>
    <w:p w14:paraId="50000000">
      <w:pPr>
        <w:pStyle w:val="Style_3"/>
      </w:pPr>
      <w:r>
        <w:t>ПОЛОЖЕНИЕ</w:t>
      </w:r>
    </w:p>
    <w:p w14:paraId="51000000">
      <w:pPr>
        <w:pStyle w:val="Style_3"/>
        <w:spacing w:after="0"/>
        <w:ind/>
        <w:rPr>
          <w:b w:val="0"/>
        </w:rPr>
      </w:pPr>
      <w:r>
        <w:t xml:space="preserve">о Рабочей группе </w:t>
      </w:r>
      <w:r>
        <w:t xml:space="preserve">Территориальной избирательной комиссии </w:t>
      </w:r>
      <w:r>
        <w:br/>
      </w:r>
      <w:r>
        <w:t>города Таганрога (западная) Ростовской области</w:t>
      </w:r>
    </w:p>
    <w:p w14:paraId="52000000">
      <w:pPr>
        <w:pStyle w:val="Style_3"/>
        <w:spacing w:after="0"/>
        <w:ind/>
      </w:pPr>
      <w:r>
        <w:t xml:space="preserve">по информационным спорам и иным вопросам </w:t>
      </w:r>
    </w:p>
    <w:p w14:paraId="53000000">
      <w:pPr>
        <w:pStyle w:val="Style_3"/>
        <w:spacing w:after="0"/>
        <w:ind/>
      </w:pPr>
      <w:r>
        <w:t xml:space="preserve">информационного обеспечения выборов </w:t>
      </w:r>
    </w:p>
    <w:p w14:paraId="54000000">
      <w:pPr>
        <w:pStyle w:val="Style_3"/>
        <w:spacing w:after="0"/>
        <w:ind/>
        <w:jc w:val="left"/>
      </w:pPr>
    </w:p>
    <w:p w14:paraId="55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  <w:r>
        <w:rPr>
          <w:rFonts w:ascii="Times New Roman" w:hAnsi="Times New Roman"/>
          <w:sz w:val="28"/>
        </w:rPr>
        <w:t xml:space="preserve"> о Рабочей группе Территориальной избирательной комиссии </w:t>
      </w:r>
      <w:r>
        <w:rPr>
          <w:rFonts w:ascii="Times New Roman" w:hAnsi="Times New Roman"/>
          <w:sz w:val="28"/>
        </w:rPr>
        <w:t xml:space="preserve">города Таганрога (западная) Ростовской области </w:t>
      </w:r>
      <w:r>
        <w:rPr>
          <w:rFonts w:ascii="Times New Roman" w:hAnsi="Times New Roman"/>
          <w:sz w:val="28"/>
        </w:rPr>
        <w:t xml:space="preserve">по информационным спорам </w:t>
      </w:r>
      <w:r>
        <w:rPr>
          <w:rFonts w:ascii="Times New Roman" w:hAnsi="Times New Roman"/>
          <w:sz w:val="28"/>
        </w:rPr>
        <w:t xml:space="preserve">            </w:t>
      </w:r>
      <w:r>
        <w:rPr>
          <w:rFonts w:ascii="Times New Roman" w:hAnsi="Times New Roman"/>
          <w:sz w:val="28"/>
        </w:rPr>
        <w:t xml:space="preserve">и иным вопросам информационного обеспечения выборов (далее – Положение)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определяет порядок и формы деятельности Рабочей группы 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</w:t>
      </w:r>
      <w:r>
        <w:rPr>
          <w:rFonts w:ascii="Times New Roman" w:hAnsi="Times New Roman"/>
          <w:sz w:val="28"/>
        </w:rPr>
        <w:t>западная)</w:t>
      </w:r>
      <w:r>
        <w:rPr>
          <w:rFonts w:ascii="Times New Roman" w:hAnsi="Times New Roman"/>
          <w:sz w:val="28"/>
        </w:rPr>
        <w:t xml:space="preserve"> Ростовской области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по информационным спорам и иным вопросам информационного обеспечения выборов </w:t>
      </w:r>
      <w:r>
        <w:rPr>
          <w:rFonts w:ascii="Times New Roman" w:hAnsi="Times New Roman"/>
          <w:sz w:val="28"/>
        </w:rPr>
        <w:t>(далее – Рабочая группа).</w:t>
      </w:r>
    </w:p>
    <w:p w14:paraId="56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Рабочая группа образуется из числа членов 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 xml:space="preserve">) Ростовской области </w:t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далее</w:t>
      </w:r>
      <w:r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t>Комиссия)</w:t>
      </w:r>
      <w:r>
        <w:rPr>
          <w:rFonts w:ascii="Times New Roman" w:hAnsi="Times New Roman"/>
          <w:sz w:val="28"/>
        </w:rPr>
        <w:t xml:space="preserve">, представителей государственных </w:t>
      </w:r>
      <w:r>
        <w:rPr>
          <w:rFonts w:ascii="Times New Roman" w:hAnsi="Times New Roman"/>
          <w:sz w:val="28"/>
        </w:rPr>
        <w:t xml:space="preserve">и муниципальных </w:t>
      </w:r>
      <w:r>
        <w:rPr>
          <w:rFonts w:ascii="Times New Roman" w:hAnsi="Times New Roman"/>
          <w:sz w:val="28"/>
        </w:rPr>
        <w:t>органов, общественных объединений, организаций, осуществляющих выпуск средств массовой информации,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работников избирательных комиссий, ученых и специалистов, а также привлеченных по гражданско-правовому договору граждан.</w:t>
      </w:r>
    </w:p>
    <w:p w14:paraId="57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 о</w:t>
      </w:r>
      <w:r>
        <w:rPr>
          <w:rFonts w:ascii="Times New Roman" w:hAnsi="Times New Roman"/>
          <w:sz w:val="28"/>
        </w:rPr>
        <w:t xml:space="preserve"> Рабочей групп</w:t>
      </w:r>
      <w:r>
        <w:rPr>
          <w:rFonts w:ascii="Times New Roman" w:hAnsi="Times New Roman"/>
          <w:sz w:val="28"/>
        </w:rPr>
        <w:t xml:space="preserve">е, ее состав и руководитель </w:t>
      </w:r>
      <w:r>
        <w:rPr>
          <w:rFonts w:ascii="Times New Roman" w:hAnsi="Times New Roman"/>
          <w:sz w:val="28"/>
        </w:rPr>
        <w:t>утвержда</w:t>
      </w:r>
      <w:r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 xml:space="preserve">тся </w:t>
      </w:r>
      <w:r>
        <w:rPr>
          <w:rFonts w:ascii="Times New Roman" w:hAnsi="Times New Roman"/>
          <w:sz w:val="28"/>
        </w:rPr>
        <w:t>постановлением Коми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сии</w:t>
      </w:r>
      <w:r>
        <w:rPr>
          <w:rFonts w:ascii="Times New Roman" w:hAnsi="Times New Roman"/>
          <w:sz w:val="28"/>
        </w:rPr>
        <w:t>.</w:t>
      </w:r>
    </w:p>
    <w:p w14:paraId="58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Рабочая группа в своей деятельности руководствуется Конституцией Российской Федерации, федеральными и областными законами, иными нормативными правовыми актами Российской Федерации и Ростовской области, муниципальными правовыми актами, нормативными актами Центральной избирательной комиссии Российской Федерации, Избирательно</w:t>
      </w:r>
      <w:r>
        <w:rPr>
          <w:rFonts w:ascii="Times New Roman" w:hAnsi="Times New Roman"/>
          <w:sz w:val="28"/>
        </w:rPr>
        <w:t xml:space="preserve">й комиссии Ростовской области, </w:t>
      </w:r>
      <w:r>
        <w:rPr>
          <w:rFonts w:ascii="Times New Roman" w:hAnsi="Times New Roman"/>
          <w:sz w:val="28"/>
        </w:rPr>
        <w:t>правовыми актами Комиссии, а также настоящим Положением.</w:t>
      </w:r>
    </w:p>
    <w:p w14:paraId="59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Деятельность Рабочей группы осуществляется на основе коллегиальности, открытого об</w:t>
      </w:r>
      <w:r>
        <w:rPr>
          <w:rFonts w:ascii="Times New Roman" w:hAnsi="Times New Roman"/>
          <w:sz w:val="28"/>
        </w:rPr>
        <w:t xml:space="preserve">суждения вопросов, относящихся </w:t>
      </w:r>
      <w:r>
        <w:rPr>
          <w:rFonts w:ascii="Times New Roman" w:hAnsi="Times New Roman"/>
          <w:sz w:val="28"/>
        </w:rPr>
        <w:t>к ее компетенции.</w:t>
      </w:r>
    </w:p>
    <w:p w14:paraId="5A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компетенцию Рабочей группы входят:</w:t>
      </w:r>
    </w:p>
    <w:p w14:paraId="5B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сбор и систематизация уведомлений о готовности предоставить эфирное время, печатную площадь, услуги по размещению предвыборных агитационных материалов в сетевых изданиях, а также сведений о размере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 других условиях их оплаты, представленных организациями телерадиовещания, редакциями периодических печатных изданий, редакциями сетевых изданий в </w:t>
      </w:r>
      <w:r>
        <w:rPr>
          <w:rFonts w:ascii="Times New Roman" w:hAnsi="Times New Roman"/>
          <w:sz w:val="28"/>
        </w:rPr>
        <w:t>Комиссию</w:t>
      </w:r>
      <w:r>
        <w:rPr>
          <w:rFonts w:ascii="Times New Roman" w:hAnsi="Times New Roman"/>
          <w:sz w:val="28"/>
        </w:rPr>
        <w:t xml:space="preserve"> в порядке, установленном законодательством</w:t>
      </w:r>
      <w:r>
        <w:rPr>
          <w:rFonts w:ascii="Times New Roman" w:hAnsi="Times New Roman"/>
          <w:sz w:val="28"/>
        </w:rPr>
        <w:t xml:space="preserve">                  </w:t>
      </w:r>
      <w:r>
        <w:rPr>
          <w:rFonts w:ascii="Times New Roman" w:hAnsi="Times New Roman"/>
          <w:sz w:val="28"/>
        </w:rPr>
        <w:t xml:space="preserve"> о выборах;</w:t>
      </w:r>
    </w:p>
    <w:p w14:paraId="5C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сбор и систематизация сведений о размере и других условиях оплаты работ по изготовлению печатных агитационных материалов, представленных организациями, индивидуальными предпринимателями, выполняющими работы (оказывающими услуги) по изготовлению печатных агитационных материалов </w:t>
      </w:r>
      <w:r>
        <w:rPr>
          <w:rFonts w:ascii="Times New Roman" w:hAnsi="Times New Roman"/>
          <w:sz w:val="28"/>
        </w:rPr>
        <w:t>в Комиссию</w:t>
      </w:r>
      <w:r>
        <w:rPr>
          <w:rFonts w:ascii="Times New Roman" w:hAnsi="Times New Roman"/>
          <w:sz w:val="28"/>
        </w:rPr>
        <w:t xml:space="preserve">, в порядке, установленном законодательством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 выборах;</w:t>
      </w:r>
    </w:p>
    <w:p w14:paraId="5D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сбор</w:t>
      </w:r>
      <w:r>
        <w:rPr>
          <w:rFonts w:ascii="Times New Roman" w:hAnsi="Times New Roman"/>
          <w:sz w:val="28"/>
        </w:rPr>
        <w:t xml:space="preserve"> и систематизация копий агитационных материалов, предназначенных для размещения на каналах организаций, осуществляющих телерадиовещание, в периодических печ</w:t>
      </w:r>
      <w:r>
        <w:rPr>
          <w:rFonts w:ascii="Times New Roman" w:hAnsi="Times New Roman"/>
          <w:sz w:val="28"/>
        </w:rPr>
        <w:t xml:space="preserve">атных изданиях, представленных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t>Комиссию</w:t>
      </w:r>
      <w:r>
        <w:rPr>
          <w:rFonts w:ascii="Times New Roman" w:hAnsi="Times New Roman"/>
          <w:sz w:val="28"/>
        </w:rPr>
        <w:t xml:space="preserve"> в порядке, установленном законодательством о выборах;</w:t>
      </w:r>
    </w:p>
    <w:p w14:paraId="5E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сбор и систематизация 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или копий иных предвыборных агитационных материалов,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а также электронных образов этих предвыборных агитационных материалов, представленных в </w:t>
      </w:r>
      <w:r>
        <w:rPr>
          <w:rFonts w:ascii="Times New Roman" w:hAnsi="Times New Roman"/>
          <w:sz w:val="28"/>
        </w:rPr>
        <w:t>Комиссию</w:t>
      </w:r>
      <w:r>
        <w:rPr>
          <w:rFonts w:ascii="Times New Roman" w:hAnsi="Times New Roman"/>
          <w:sz w:val="28"/>
        </w:rPr>
        <w:t xml:space="preserve"> в порядке, установленном законодательством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 выборах;</w:t>
      </w:r>
    </w:p>
    <w:p w14:paraId="5F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сбор, систематизация и размещение на сайте </w:t>
      </w:r>
      <w:r>
        <w:rPr>
          <w:rFonts w:ascii="Times New Roman" w:hAnsi="Times New Roman"/>
          <w:sz w:val="28"/>
        </w:rPr>
        <w:t xml:space="preserve">Комиссии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в информационно-телекоммуникационной сети «Интернет» информации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о фактах предоставления помещений зарегистрированным кандидатам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в соответствии с пунктами 4, 4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статьи 53 Федерального закона </w:t>
      </w:r>
      <w:r>
        <w:rPr>
          <w:rFonts w:ascii="Times New Roman" w:hAnsi="Times New Roman"/>
          <w:sz w:val="28"/>
        </w:rPr>
        <w:t xml:space="preserve">                                   </w:t>
      </w:r>
      <w:r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2.06.2002 № 67-ФЗ «Об основных гарантиях избирательных прав и права </w:t>
      </w: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>на участие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референдуме граждан Российской Федерации»;</w:t>
      </w:r>
    </w:p>
    <w:p w14:paraId="60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ввод в задачу «Агитация» ГАС «Выборы» сведений, предусмотренных Регламентом использования Государственной автоматизированной системы</w:t>
      </w:r>
      <w:r>
        <w:rPr>
          <w:rFonts w:ascii="Times New Roman" w:hAnsi="Times New Roman"/>
          <w:sz w:val="28"/>
        </w:rPr>
        <w:t xml:space="preserve"> Российской Федерации «Выборы» </w:t>
      </w:r>
      <w:r>
        <w:rPr>
          <w:rFonts w:ascii="Times New Roman" w:hAnsi="Times New Roman"/>
          <w:sz w:val="28"/>
        </w:rPr>
        <w:t>для контроля за соблюдением установленного порядка проведения предвыборной агитации, утвержденным постановлением Центральной избирательной комиссии Российской Федерации от 14.02.2013 № 161/1192-6</w:t>
      </w:r>
      <w:r>
        <w:rPr>
          <w:rFonts w:ascii="Times New Roman" w:hAnsi="Times New Roman"/>
          <w:sz w:val="28"/>
        </w:rPr>
        <w:t xml:space="preserve"> «О Регламенте 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</w:t>
      </w:r>
      <w:r>
        <w:rPr>
          <w:rFonts w:ascii="Times New Roman" w:hAnsi="Times New Roman"/>
          <w:sz w:val="28"/>
        </w:rPr>
        <w:t>, постановлением Избирательной комиссии Ростовской области от 06.02.2020 № 93-3 «О применении задачи «Агитация» ГАС «Выборы» при проведении выборов депутатов представител</w:t>
      </w:r>
      <w:r>
        <w:rPr>
          <w:rFonts w:ascii="Times New Roman" w:hAnsi="Times New Roman"/>
          <w:sz w:val="28"/>
        </w:rPr>
        <w:t xml:space="preserve">ьных органов городских округов </w:t>
      </w:r>
      <w:r>
        <w:rPr>
          <w:rFonts w:ascii="Times New Roman" w:hAnsi="Times New Roman"/>
          <w:sz w:val="28"/>
        </w:rPr>
        <w:t>в Ростовской области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>;</w:t>
      </w:r>
    </w:p>
    <w:p w14:paraId="61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размещение на сайте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омиссии в информационно-телекоммуникационной сети «Интернет»:</w:t>
      </w:r>
    </w:p>
    <w:p w14:paraId="62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– перечня муниципальных организаций телерадиовещания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муниципальных периодических печатных изданий, представленного территориальным органом федерального органа исполнительной власти, уполномоченного на осуществление функций по регистрации средств массовой информации;</w:t>
      </w:r>
    </w:p>
    <w:p w14:paraId="63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обобщенных сведений о поступивших уведомлениях организаций телерадиовещания о готовности предоставлять эфирное время;</w:t>
      </w:r>
    </w:p>
    <w:p w14:paraId="64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14:paraId="65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14:paraId="66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обобщенных сведений о поступивших уведомлениях организаций, индивидуальных предпринимателей о готовности выполнять работы (оказывать услуги) по изготовлению печатных предвыборных агитационных материалов;</w:t>
      </w:r>
    </w:p>
    <w:p w14:paraId="67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графиков распределения эфирного времени, протоколов жеребьевок</w:t>
      </w:r>
      <w:r>
        <w:rPr>
          <w:rFonts w:ascii="Times New Roman" w:hAnsi="Times New Roman"/>
          <w:sz w:val="28"/>
        </w:rPr>
        <w:t xml:space="preserve">                    </w:t>
      </w:r>
      <w:r>
        <w:rPr>
          <w:rFonts w:ascii="Times New Roman" w:hAnsi="Times New Roman"/>
          <w:sz w:val="28"/>
        </w:rPr>
        <w:t xml:space="preserve"> по распределению печатной площади;</w:t>
      </w:r>
    </w:p>
    <w:p w14:paraId="68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рассмотрение во взаимодействии с контрольно-ревизионной службой при </w:t>
      </w:r>
      <w:r>
        <w:rPr>
          <w:rFonts w:ascii="Times New Roman" w:hAnsi="Times New Roman"/>
          <w:sz w:val="28"/>
        </w:rPr>
        <w:t xml:space="preserve"> Комиссии </w:t>
      </w:r>
      <w:r>
        <w:rPr>
          <w:rFonts w:ascii="Times New Roman" w:hAnsi="Times New Roman"/>
          <w:sz w:val="28"/>
        </w:rPr>
        <w:t xml:space="preserve">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или копий иных предвыборных агитационных материалов, представленных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в Комиссию</w:t>
      </w:r>
      <w:r>
        <w:rPr>
          <w:rFonts w:ascii="Times New Roman" w:hAnsi="Times New Roman"/>
          <w:sz w:val="28"/>
        </w:rPr>
        <w:t xml:space="preserve">, в порядке, установленном законодательством о выборах, </w:t>
      </w:r>
      <w:r>
        <w:rPr>
          <w:rFonts w:ascii="Times New Roman" w:hAnsi="Times New Roman"/>
          <w:sz w:val="28"/>
        </w:rPr>
        <w:t xml:space="preserve">                </w:t>
      </w:r>
      <w:r>
        <w:rPr>
          <w:rFonts w:ascii="Times New Roman" w:hAnsi="Times New Roman"/>
          <w:sz w:val="28"/>
        </w:rPr>
        <w:t>на предмет их соответствия законодательству о выборах, а также подготовка соответствующих заключений;</w:t>
      </w:r>
    </w:p>
    <w:p w14:paraId="69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рассмотрение вопросов, касающихся публикаций результатов опросов общественного мнения, связанных с выборами;</w:t>
      </w:r>
    </w:p>
    <w:p w14:paraId="6A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предварительное рассмотрение обращений о нарушениях положений </w:t>
      </w:r>
      <w:r>
        <w:rPr>
          <w:rFonts w:ascii="Times New Roman" w:hAnsi="Times New Roman"/>
          <w:sz w:val="28"/>
        </w:rPr>
        <w:t>законодательства</w:t>
      </w:r>
      <w:r>
        <w:rPr>
          <w:rFonts w:ascii="Times New Roman" w:hAnsi="Times New Roman"/>
          <w:sz w:val="28"/>
        </w:rPr>
        <w:t>, регулирующих информирование избирателей, проведение предвыборной агитации;</w:t>
      </w:r>
    </w:p>
    <w:p w14:paraId="6B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подготовка проектов представлений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 xml:space="preserve">омиссии  о пресечении противоправной агитационной деятельности и привлечении виновных лиц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к ответственности, установленной законодательством Российской Федерации;</w:t>
      </w:r>
    </w:p>
    <w:p w14:paraId="6C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сбор и систематизация материалов о нарушениях законодательства, регулирующего порядок информирования избирателей и проведения предвыборной агитации, допущенных избирательными объединениями, кандидатами, организациями телерадиовещания, редакциями периодических печатных изданий, редакциями сетевых изданий, иными лицами в ходе избирательных кампаний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подготовка и принятие соответствующих заключений (решений) Рабочей группы;</w:t>
      </w:r>
    </w:p>
    <w:p w14:paraId="6D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рассмотрение полученных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 xml:space="preserve">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периодических печатных изданий, редакций сетевых изданий, общественных объединений, их должностных лиц, сведений и материалов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по вопросам компетенции Рабочей группы;</w:t>
      </w:r>
    </w:p>
    <w:p w14:paraId="6E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иные вопросы, связанные с нарушением законодательства о выборах.</w:t>
      </w:r>
    </w:p>
    <w:p w14:paraId="6F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Рабочей группы созывает руководитель Рабочей группы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(в случае его отсутствия – заместитель руководителя Рабочей группы). Заседание Рабочей группы созывается по мере необходимости. </w:t>
      </w:r>
    </w:p>
    <w:p w14:paraId="70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14:paraId="71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Деятельность Рабочей группы осуществляется на основе открытого обсуждения вопросов, относящихся к ее компетенции.</w:t>
      </w:r>
    </w:p>
    <w:p w14:paraId="72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заседаниях Рабочей группы вправе пр</w:t>
      </w:r>
      <w:r>
        <w:rPr>
          <w:rFonts w:ascii="Times New Roman" w:hAnsi="Times New Roman"/>
          <w:sz w:val="28"/>
        </w:rPr>
        <w:t xml:space="preserve">исутствовать и высказывать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свое </w:t>
      </w:r>
      <w:r>
        <w:rPr>
          <w:rFonts w:ascii="Times New Roman" w:hAnsi="Times New Roman"/>
          <w:sz w:val="28"/>
        </w:rPr>
        <w:t xml:space="preserve">мнение члены вышестоящих избирательных комиссий и работники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их аппаратов, члены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омиссии  с правом решающего голоса, не являющиеся</w:t>
      </w:r>
      <w:r>
        <w:rPr>
          <w:rFonts w:ascii="Times New Roman" w:hAnsi="Times New Roman"/>
          <w:sz w:val="28"/>
        </w:rPr>
        <w:t xml:space="preserve"> членами Рабочей группы</w:t>
      </w:r>
      <w:r>
        <w:rPr>
          <w:rFonts w:ascii="Times New Roman" w:hAnsi="Times New Roman"/>
          <w:sz w:val="28"/>
        </w:rPr>
        <w:t>.</w:t>
      </w:r>
    </w:p>
    <w:p w14:paraId="73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</w:t>
      </w:r>
    </w:p>
    <w:p w14:paraId="74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его заместителем накануне очередного заседания.</w:t>
      </w:r>
    </w:p>
    <w:p w14:paraId="75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времени и месте заседания Рабочей группы </w:t>
      </w:r>
      <w:r>
        <w:rPr>
          <w:rFonts w:ascii="Times New Roman" w:hAnsi="Times New Roman"/>
          <w:sz w:val="28"/>
        </w:rPr>
        <w:t xml:space="preserve">в обязательном порядке </w:t>
      </w:r>
      <w:r>
        <w:rPr>
          <w:rFonts w:ascii="Times New Roman" w:hAnsi="Times New Roman"/>
          <w:sz w:val="28"/>
        </w:rPr>
        <w:t xml:space="preserve">извещаются члены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омиссии  с правом решающего голоса.</w:t>
      </w:r>
    </w:p>
    <w:p w14:paraId="76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 приглашенных лиц о времени и месте заседания Рабочей группы, организует делопроизводство в Рабочей группе, председательствует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на ее заседаниях.</w:t>
      </w:r>
    </w:p>
    <w:p w14:paraId="77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его заместитель,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а в случае его отсутствия – иной уполномоченный на то член Рабочей группы из числа членов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омиссии  с правом решающего голоса.</w:t>
      </w:r>
    </w:p>
    <w:p w14:paraId="78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14:paraId="79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Поступившие в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 xml:space="preserve">омиссию обращения и иные документы рассматриваются на заседаниях Рабочей группы по поручению председателя, </w:t>
      </w:r>
      <w:r>
        <w:rPr>
          <w:rFonts w:ascii="Times New Roman" w:hAnsi="Times New Roman"/>
          <w:sz w:val="28"/>
        </w:rPr>
        <w:t xml:space="preserve">                  </w:t>
      </w:r>
      <w:r>
        <w:rPr>
          <w:rFonts w:ascii="Times New Roman" w:hAnsi="Times New Roman"/>
          <w:sz w:val="28"/>
        </w:rPr>
        <w:t xml:space="preserve">а в его отсутствие – заместителя председателя </w:t>
      </w:r>
      <w:r>
        <w:rPr>
          <w:rFonts w:ascii="Times New Roman" w:hAnsi="Times New Roman"/>
          <w:sz w:val="28"/>
        </w:rPr>
        <w:t>Комиссии.</w:t>
      </w:r>
    </w:p>
    <w:p w14:paraId="7A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Подготовка к заседаниям Рабочей группы ведется в соответствии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группы, привлекаемыми специалистами. К заседанию Рабочей группы готовятся документы, необходимые для рассмотрения обращений,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иные документы,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14:paraId="7B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Срок рассмотрения обращений, поступающих в Рабочую группу, определяется в соответствии с </w:t>
      </w:r>
      <w:r>
        <w:rPr>
          <w:rFonts w:ascii="Times New Roman" w:hAnsi="Times New Roman"/>
          <w:sz w:val="28"/>
        </w:rPr>
        <w:t>фе</w:t>
      </w:r>
      <w:r>
        <w:rPr>
          <w:rFonts w:ascii="Times New Roman" w:hAnsi="Times New Roman"/>
          <w:sz w:val="28"/>
        </w:rPr>
        <w:t>деральными законами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правовыми актами Комиссии</w:t>
      </w:r>
      <w:r>
        <w:rPr>
          <w:rFonts w:ascii="Times New Roman" w:hAnsi="Times New Roman"/>
          <w:sz w:val="28"/>
        </w:rPr>
        <w:t>.</w:t>
      </w:r>
    </w:p>
    <w:p w14:paraId="7C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заседании Рабочей группы ведется протокол, а при необходимости – аудиозапись. Протокол </w:t>
      </w:r>
      <w:r>
        <w:rPr>
          <w:rFonts w:ascii="Times New Roman" w:hAnsi="Times New Roman"/>
          <w:sz w:val="28"/>
        </w:rPr>
        <w:t xml:space="preserve">заседания </w:t>
      </w:r>
      <w:r>
        <w:rPr>
          <w:rFonts w:ascii="Times New Roman" w:hAnsi="Times New Roman"/>
          <w:sz w:val="28"/>
        </w:rPr>
        <w:t xml:space="preserve">ведет секретарь Рабочей группы,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а в его отсутствие – иное лицо, назначенное председательствующим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секретарь Рабочей группы</w:t>
      </w:r>
      <w:r>
        <w:rPr>
          <w:rFonts w:ascii="Times New Roman" w:hAnsi="Times New Roman"/>
          <w:sz w:val="28"/>
        </w:rPr>
        <w:t>.</w:t>
      </w:r>
    </w:p>
    <w:p w14:paraId="7D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результатам рассмотрения каждого вопроса на заседании Рабочей группы принимается решение Рабочей группы, которое подписывается руководителем Рабочей группы и секретарем заседания.</w:t>
      </w:r>
    </w:p>
    <w:p w14:paraId="7E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 </w:t>
      </w:r>
    </w:p>
    <w:p w14:paraId="7F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Член Рабочей группы не принимает участия в голосовании,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если предметом рассмотрения Рабочей группы является обращение в связи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с действием (бездействием) организации, осуществляющей выпуск средств массовой информации, представителем которой он является. В этом случае указанный член Рабочей группы не учитывается при определении установленного числа членов Рабочей группы и числа присутствующих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на заседании членов Рабочей группы.</w:t>
      </w:r>
    </w:p>
    <w:p w14:paraId="80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 Рабочей группы, а при необходимости и соответствующий проект постановления</w:t>
      </w:r>
      <w:r>
        <w:rPr>
          <w:rFonts w:ascii="Times New Roman" w:hAnsi="Times New Roman"/>
          <w:sz w:val="28"/>
        </w:rPr>
        <w:t xml:space="preserve"> К</w:t>
      </w:r>
      <w:r>
        <w:rPr>
          <w:rFonts w:ascii="Times New Roman" w:hAnsi="Times New Roman"/>
          <w:sz w:val="28"/>
        </w:rPr>
        <w:t xml:space="preserve">омиссии  выносятся на заседание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 xml:space="preserve">омиссии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</w:t>
      </w:r>
      <w:r>
        <w:rPr>
          <w:rFonts w:ascii="Times New Roman" w:hAnsi="Times New Roman"/>
          <w:sz w:val="28"/>
        </w:rPr>
        <w:t xml:space="preserve">Комиссии </w:t>
      </w:r>
      <w:r>
        <w:rPr>
          <w:rFonts w:ascii="Times New Roman" w:hAnsi="Times New Roman"/>
          <w:sz w:val="28"/>
        </w:rPr>
        <w:t xml:space="preserve"> с правом решающего голоса.</w:t>
      </w:r>
    </w:p>
    <w:p w14:paraId="81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Обращения, касающиеся нарушений законодательства о выборах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в ходе информирования избирателей, при проведении предвыборной агитации, копии ответов на эти обращения, обращения о порядке применения законодательства в ходе информирования избирателей, при проведении предвыборной агитации, другие документы подлежат хранению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в установленном порядке.</w:t>
      </w:r>
    </w:p>
    <w:p w14:paraId="82000000">
      <w:pPr>
        <w:pStyle w:val="Style_1"/>
        <w:ind/>
        <w:jc w:val="both"/>
        <w:rPr>
          <w:rFonts w:ascii="Times New Roman" w:hAnsi="Times New Roman"/>
          <w:sz w:val="28"/>
        </w:rPr>
      </w:pPr>
    </w:p>
    <w:p w14:paraId="83000000">
      <w:pPr>
        <w:pStyle w:val="Style_3"/>
        <w:spacing w:after="0"/>
        <w:ind/>
        <w:jc w:val="left"/>
      </w:pPr>
    </w:p>
    <w:p w14:paraId="84000000">
      <w:pPr>
        <w:widowControl w:val="0"/>
        <w:ind w:firstLine="0" w:left="5954"/>
        <w:jc w:val="center"/>
        <w:rPr>
          <w:sz w:val="24"/>
        </w:rPr>
      </w:pPr>
    </w:p>
    <w:p w14:paraId="85000000">
      <w:pPr>
        <w:widowControl w:val="0"/>
        <w:ind w:firstLine="0" w:left="5954"/>
        <w:jc w:val="center"/>
        <w:rPr>
          <w:sz w:val="24"/>
        </w:rPr>
      </w:pPr>
    </w:p>
    <w:p w14:paraId="86000000">
      <w:pPr>
        <w:widowControl w:val="0"/>
        <w:ind w:firstLine="0" w:left="5954"/>
        <w:jc w:val="center"/>
        <w:rPr>
          <w:sz w:val="24"/>
        </w:rPr>
      </w:pPr>
    </w:p>
    <w:p w14:paraId="87000000">
      <w:pPr>
        <w:widowControl w:val="0"/>
        <w:ind w:firstLine="0" w:left="5954"/>
        <w:jc w:val="center"/>
        <w:rPr>
          <w:sz w:val="24"/>
        </w:rPr>
      </w:pPr>
    </w:p>
    <w:p w14:paraId="88000000">
      <w:pPr>
        <w:widowControl w:val="0"/>
        <w:ind w:firstLine="0" w:left="5954"/>
        <w:jc w:val="center"/>
        <w:rPr>
          <w:sz w:val="24"/>
        </w:rPr>
      </w:pPr>
    </w:p>
    <w:p w14:paraId="89000000">
      <w:pPr>
        <w:widowControl w:val="0"/>
        <w:ind w:firstLine="0" w:left="5954"/>
        <w:jc w:val="center"/>
        <w:rPr>
          <w:sz w:val="24"/>
        </w:rPr>
      </w:pPr>
    </w:p>
    <w:p w14:paraId="8A000000">
      <w:pPr>
        <w:widowControl w:val="0"/>
        <w:ind w:firstLine="0" w:left="5954"/>
        <w:jc w:val="center"/>
        <w:rPr>
          <w:sz w:val="24"/>
        </w:rPr>
      </w:pPr>
    </w:p>
    <w:p w14:paraId="8B000000">
      <w:pPr>
        <w:widowControl w:val="0"/>
        <w:ind w:firstLine="0" w:left="5954"/>
        <w:jc w:val="center"/>
        <w:rPr>
          <w:sz w:val="24"/>
        </w:rPr>
      </w:pPr>
    </w:p>
    <w:p w14:paraId="8C000000">
      <w:pPr>
        <w:widowControl w:val="0"/>
        <w:ind w:firstLine="0" w:left="5954"/>
        <w:jc w:val="center"/>
        <w:rPr>
          <w:sz w:val="24"/>
        </w:rPr>
      </w:pPr>
    </w:p>
    <w:p w14:paraId="8D000000">
      <w:pPr>
        <w:widowControl w:val="0"/>
        <w:ind w:firstLine="0" w:left="5954"/>
        <w:jc w:val="center"/>
        <w:rPr>
          <w:sz w:val="24"/>
        </w:rPr>
      </w:pPr>
    </w:p>
    <w:p w14:paraId="8E000000">
      <w:pPr>
        <w:widowControl w:val="0"/>
        <w:ind w:firstLine="0" w:left="5954"/>
        <w:jc w:val="center"/>
        <w:rPr>
          <w:sz w:val="24"/>
        </w:rPr>
      </w:pPr>
    </w:p>
    <w:p w14:paraId="8F000000">
      <w:pPr>
        <w:widowControl w:val="0"/>
        <w:ind w:firstLine="0" w:left="5954"/>
        <w:jc w:val="center"/>
        <w:rPr>
          <w:sz w:val="24"/>
        </w:rPr>
      </w:pPr>
    </w:p>
    <w:p w14:paraId="90000000">
      <w:pPr>
        <w:widowControl w:val="0"/>
        <w:ind w:firstLine="0" w:left="5954"/>
        <w:jc w:val="center"/>
        <w:rPr>
          <w:sz w:val="24"/>
        </w:rPr>
      </w:pPr>
    </w:p>
    <w:p w14:paraId="91000000">
      <w:pPr>
        <w:widowControl w:val="0"/>
        <w:ind w:firstLine="0" w:left="5954"/>
        <w:jc w:val="center"/>
        <w:rPr>
          <w:sz w:val="24"/>
        </w:rPr>
      </w:pPr>
    </w:p>
    <w:p w14:paraId="92000000">
      <w:pPr>
        <w:widowControl w:val="0"/>
        <w:ind w:firstLine="0" w:left="5954"/>
        <w:jc w:val="center"/>
        <w:rPr>
          <w:sz w:val="24"/>
        </w:rPr>
      </w:pPr>
    </w:p>
    <w:p w14:paraId="93000000">
      <w:pPr>
        <w:widowControl w:val="0"/>
        <w:ind w:firstLine="0" w:left="5954"/>
        <w:jc w:val="center"/>
        <w:rPr>
          <w:sz w:val="24"/>
        </w:rPr>
      </w:pPr>
    </w:p>
    <w:p w14:paraId="94000000">
      <w:pPr>
        <w:widowControl w:val="0"/>
        <w:ind w:firstLine="0" w:left="5954"/>
        <w:jc w:val="center"/>
        <w:rPr>
          <w:sz w:val="24"/>
        </w:rPr>
      </w:pPr>
    </w:p>
    <w:p w14:paraId="95000000">
      <w:pPr>
        <w:widowControl w:val="0"/>
        <w:ind w:firstLine="0" w:left="5954"/>
        <w:jc w:val="center"/>
        <w:rPr>
          <w:sz w:val="24"/>
        </w:rPr>
      </w:pPr>
    </w:p>
    <w:p w14:paraId="96000000">
      <w:pPr>
        <w:widowControl w:val="0"/>
        <w:ind w:firstLine="0" w:left="5954"/>
        <w:jc w:val="center"/>
        <w:rPr>
          <w:sz w:val="24"/>
        </w:rPr>
      </w:pPr>
    </w:p>
    <w:p w14:paraId="97000000">
      <w:pPr>
        <w:widowControl w:val="0"/>
        <w:ind w:firstLine="0" w:left="5954"/>
        <w:jc w:val="center"/>
        <w:rPr>
          <w:sz w:val="24"/>
        </w:rPr>
      </w:pPr>
    </w:p>
    <w:p w14:paraId="98000000">
      <w:pPr>
        <w:widowControl w:val="0"/>
        <w:ind w:firstLine="0" w:left="5954"/>
        <w:jc w:val="center"/>
        <w:rPr>
          <w:sz w:val="24"/>
        </w:rPr>
      </w:pPr>
    </w:p>
    <w:p w14:paraId="99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 xml:space="preserve">Приложение № </w:t>
      </w:r>
      <w:r>
        <w:rPr>
          <w:sz w:val="24"/>
        </w:rPr>
        <w:t>2</w:t>
      </w:r>
    </w:p>
    <w:p w14:paraId="9A000000">
      <w:pPr>
        <w:widowControl w:val="0"/>
        <w:ind w:firstLine="0" w:left="5954"/>
        <w:jc w:val="center"/>
        <w:rPr>
          <w:sz w:val="24"/>
        </w:rPr>
      </w:pPr>
    </w:p>
    <w:p w14:paraId="9B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>УТВЕРЖДЕН</w:t>
      </w:r>
    </w:p>
    <w:p w14:paraId="9C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 xml:space="preserve">постановлением </w:t>
      </w:r>
      <w:r>
        <w:rPr>
          <w:sz w:val="24"/>
        </w:rPr>
        <w:t xml:space="preserve">                </w:t>
      </w:r>
      <w:r>
        <w:rPr>
          <w:sz w:val="24"/>
        </w:rPr>
        <w:t>Территориальной и</w:t>
      </w:r>
      <w:r>
        <w:rPr>
          <w:sz w:val="24"/>
        </w:rPr>
        <w:t xml:space="preserve">збирательной комиссии </w:t>
      </w:r>
      <w:r>
        <w:rPr>
          <w:sz w:val="24"/>
        </w:rPr>
        <w:t>города Таганрога (западная) Ростовской области</w:t>
      </w:r>
      <w:r>
        <w:rPr>
          <w:sz w:val="24"/>
        </w:rPr>
        <w:br/>
      </w:r>
      <w:r>
        <w:rPr>
          <w:sz w:val="24"/>
        </w:rPr>
        <w:t>от 28</w:t>
      </w:r>
      <w:r>
        <w:rPr>
          <w:sz w:val="24"/>
        </w:rPr>
        <w:t>.06.202</w:t>
      </w:r>
      <w:r>
        <w:rPr>
          <w:sz w:val="24"/>
        </w:rPr>
        <w:t>3</w:t>
      </w:r>
      <w:r>
        <w:rPr>
          <w:sz w:val="24"/>
        </w:rPr>
        <w:t xml:space="preserve"> № 49-3</w:t>
      </w:r>
    </w:p>
    <w:p w14:paraId="9D000000">
      <w:pPr>
        <w:widowControl w:val="0"/>
        <w:ind/>
        <w:jc w:val="right"/>
      </w:pPr>
    </w:p>
    <w:p w14:paraId="9E000000">
      <w:pPr>
        <w:ind/>
        <w:jc w:val="center"/>
        <w:rPr>
          <w:b w:val="1"/>
        </w:rPr>
      </w:pPr>
      <w:r>
        <w:rPr>
          <w:b w:val="1"/>
        </w:rPr>
        <w:t>СОСТАВ</w:t>
      </w:r>
    </w:p>
    <w:p w14:paraId="9F000000">
      <w:pPr>
        <w:ind/>
        <w:jc w:val="center"/>
        <w:rPr>
          <w:b w:val="1"/>
        </w:rPr>
      </w:pPr>
      <w:r>
        <w:rPr>
          <w:b w:val="1"/>
        </w:rPr>
        <w:t xml:space="preserve">Рабочей группы </w:t>
      </w:r>
      <w:r>
        <w:rPr>
          <w:b w:val="1"/>
        </w:rPr>
        <w:t>Территориальной и</w:t>
      </w:r>
      <w:r>
        <w:rPr>
          <w:b w:val="1"/>
        </w:rPr>
        <w:t xml:space="preserve">збирательной комиссии </w:t>
      </w:r>
      <w:r>
        <w:rPr>
          <w:b w:val="1"/>
        </w:rPr>
        <w:br/>
      </w:r>
      <w:r>
        <w:rPr>
          <w:b w:val="1"/>
        </w:rPr>
        <w:t xml:space="preserve">города Таганрога (западная) Ростовской области </w:t>
      </w:r>
    </w:p>
    <w:p w14:paraId="A0000000">
      <w:pPr>
        <w:ind/>
        <w:jc w:val="center"/>
        <w:rPr>
          <w:b w:val="1"/>
        </w:rPr>
      </w:pPr>
      <w:r>
        <w:rPr>
          <w:b w:val="1"/>
        </w:rPr>
        <w:t xml:space="preserve">по информационным спорам </w:t>
      </w:r>
      <w:r>
        <w:rPr>
          <w:b w:val="1"/>
        </w:rPr>
        <w:t xml:space="preserve"> </w:t>
      </w:r>
      <w:r>
        <w:rPr>
          <w:b w:val="1"/>
        </w:rPr>
        <w:t xml:space="preserve">и иным вопросам информационного обеспечения выборов </w:t>
      </w:r>
    </w:p>
    <w:p w14:paraId="A1000000">
      <w:pPr>
        <w:ind/>
        <w:jc w:val="center"/>
        <w:rPr>
          <w:b w:val="1"/>
        </w:rPr>
      </w:pPr>
    </w:p>
    <w:p w14:paraId="A2000000">
      <w:pPr>
        <w:widowControl w:val="0"/>
        <w:ind w:firstLine="0" w:left="5812"/>
        <w:jc w:val="center"/>
      </w:pPr>
    </w:p>
    <w:tbl>
      <w:tblPr>
        <w:tblStyle w:val="Style_2"/>
        <w:tblInd w:type="dxa" w:w="108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4059"/>
        <w:gridCol w:w="5403"/>
      </w:tblGrid>
      <w:tr>
        <w:tc>
          <w:tcPr>
            <w:tcW w:type="dxa" w:w="9462"/>
            <w:gridSpan w:val="2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00000">
            <w:pPr>
              <w:spacing w:after="0" w:before="0"/>
              <w:ind/>
              <w:rPr>
                <w:b w:val="0"/>
              </w:rPr>
            </w:pPr>
            <w:r>
              <w:rPr>
                <w:b w:val="1"/>
                <w:sz w:val="28"/>
              </w:rPr>
              <w:t>Руководитель:</w:t>
            </w:r>
          </w:p>
        </w:tc>
      </w:tr>
      <w:tr>
        <w:tc>
          <w:tcPr>
            <w:tcW w:type="dxa" w:w="405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00000">
            <w:pPr>
              <w:spacing w:after="0" w:before="0"/>
              <w:ind/>
              <w:rPr>
                <w:sz w:val="28"/>
              </w:rPr>
            </w:pPr>
            <w:r>
              <w:rPr>
                <w:sz w:val="28"/>
              </w:rPr>
              <w:t>Беляев</w:t>
            </w:r>
          </w:p>
          <w:p w14:paraId="A5000000">
            <w:pPr>
              <w:spacing w:after="0" w:before="0"/>
              <w:ind/>
              <w:rPr>
                <w:sz w:val="28"/>
              </w:rPr>
            </w:pPr>
            <w:r>
              <w:rPr>
                <w:sz w:val="28"/>
              </w:rPr>
              <w:t>Игорь Борисович</w:t>
            </w:r>
          </w:p>
        </w:tc>
        <w:tc>
          <w:tcPr>
            <w:tcW w:type="dxa" w:w="540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00000">
            <w:pPr>
              <w:spacing w:after="0" w:before="0"/>
              <w:ind/>
              <w:rPr>
                <w:sz w:val="28"/>
              </w:rPr>
            </w:pPr>
            <w:r>
              <w:rPr>
                <w:sz w:val="28"/>
              </w:rPr>
              <w:t xml:space="preserve">- член Территориальной избирательной комиссии города Таганрога </w:t>
            </w:r>
            <w:r>
              <w:rPr>
                <w:sz w:val="28"/>
              </w:rPr>
              <w:t>(западная) Ростовской области с правом решающего голоса</w:t>
            </w:r>
          </w:p>
        </w:tc>
      </w:tr>
      <w:tr>
        <w:tc>
          <w:tcPr>
            <w:tcW w:type="dxa" w:w="9462"/>
            <w:gridSpan w:val="2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00000">
            <w:pPr>
              <w:spacing w:after="0" w:before="0"/>
              <w:ind/>
              <w:rPr>
                <w:b w:val="0"/>
              </w:rPr>
            </w:pPr>
          </w:p>
        </w:tc>
      </w:tr>
      <w:tr>
        <w:tc>
          <w:tcPr>
            <w:tcW w:type="dxa" w:w="9462"/>
            <w:gridSpan w:val="2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00000">
            <w:pPr>
              <w:spacing w:after="0" w:before="0"/>
              <w:ind/>
              <w:rPr>
                <w:b w:val="0"/>
              </w:rPr>
            </w:pPr>
          </w:p>
        </w:tc>
      </w:tr>
      <w:tr>
        <w:tc>
          <w:tcPr>
            <w:tcW w:type="dxa" w:w="9462"/>
            <w:gridSpan w:val="2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00000">
            <w:pPr>
              <w:spacing w:after="0" w:before="0"/>
              <w:ind/>
              <w:rPr>
                <w:b w:val="0"/>
              </w:rPr>
            </w:pPr>
            <w:r>
              <w:rPr>
                <w:b w:val="1"/>
                <w:sz w:val="28"/>
              </w:rPr>
              <w:t>Секретарь:</w:t>
            </w:r>
          </w:p>
        </w:tc>
      </w:tr>
      <w:tr>
        <w:tc>
          <w:tcPr>
            <w:tcW w:type="dxa" w:w="405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00000">
            <w:pPr>
              <w:spacing w:after="0" w:before="0"/>
              <w:ind/>
              <w:rPr>
                <w:sz w:val="28"/>
              </w:rPr>
            </w:pPr>
            <w:r>
              <w:rPr>
                <w:sz w:val="28"/>
              </w:rPr>
              <w:t>Странадко</w:t>
            </w:r>
            <w:r>
              <w:rPr>
                <w:sz w:val="28"/>
              </w:rPr>
              <w:t xml:space="preserve"> </w:t>
            </w:r>
          </w:p>
          <w:p w14:paraId="AB000000">
            <w:pPr>
              <w:spacing w:after="0" w:before="0"/>
              <w:ind/>
              <w:rPr>
                <w:sz w:val="28"/>
              </w:rPr>
            </w:pPr>
            <w:r>
              <w:rPr>
                <w:sz w:val="28"/>
              </w:rPr>
              <w:t>Ольга Николаевна</w:t>
            </w:r>
          </w:p>
        </w:tc>
        <w:tc>
          <w:tcPr>
            <w:tcW w:type="dxa" w:w="540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00000">
            <w:pPr>
              <w:spacing w:after="0" w:before="0"/>
              <w:ind/>
              <w:rPr>
                <w:sz w:val="28"/>
              </w:rPr>
            </w:pPr>
            <w:r>
              <w:rPr>
                <w:sz w:val="28"/>
              </w:rPr>
              <w:t>- секретарь  Территориальной избирательной комиссии города Таганрога (западная) Ростовской области</w:t>
            </w:r>
            <w:r>
              <w:rPr>
                <w:sz w:val="28"/>
              </w:rPr>
              <w:t xml:space="preserve"> с правом решающего </w:t>
            </w:r>
            <w:r>
              <w:rPr>
                <w:sz w:val="28"/>
              </w:rPr>
              <w:t>голоса</w:t>
            </w:r>
          </w:p>
        </w:tc>
      </w:tr>
      <w:tr>
        <w:tc>
          <w:tcPr>
            <w:tcW w:type="dxa" w:w="405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00000">
            <w:pPr>
              <w:spacing w:after="0" w:before="0"/>
              <w:ind/>
              <w:rPr>
                <w:sz w:val="28"/>
              </w:rPr>
            </w:pPr>
          </w:p>
        </w:tc>
        <w:tc>
          <w:tcPr>
            <w:tcW w:type="dxa" w:w="540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00000">
            <w:pPr>
              <w:spacing w:after="0" w:before="0"/>
              <w:ind/>
              <w:rPr>
                <w:sz w:val="28"/>
              </w:rPr>
            </w:pPr>
          </w:p>
        </w:tc>
      </w:tr>
      <w:tr>
        <w:tc>
          <w:tcPr>
            <w:tcW w:type="dxa" w:w="9462"/>
            <w:gridSpan w:val="2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00000">
            <w:pPr>
              <w:spacing w:after="0" w:before="0"/>
              <w:ind/>
              <w:rPr>
                <w:b w:val="0"/>
              </w:rPr>
            </w:pPr>
            <w:r>
              <w:rPr>
                <w:b w:val="1"/>
                <w:sz w:val="28"/>
              </w:rPr>
              <w:t>Члены Рабочей группы:</w:t>
            </w:r>
          </w:p>
        </w:tc>
      </w:tr>
      <w:tr>
        <w:tc>
          <w:tcPr>
            <w:tcW w:type="dxa" w:w="405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00000">
            <w:pPr>
              <w:spacing w:after="0" w:before="0"/>
              <w:ind/>
              <w:rPr>
                <w:sz w:val="28"/>
              </w:rPr>
            </w:pPr>
            <w:r>
              <w:rPr>
                <w:sz w:val="28"/>
              </w:rPr>
              <w:t>Турик</w:t>
            </w:r>
          </w:p>
          <w:p w14:paraId="B1000000">
            <w:pPr>
              <w:spacing w:after="0" w:before="0"/>
              <w:ind/>
              <w:rPr>
                <w:sz w:val="28"/>
              </w:rPr>
            </w:pPr>
            <w:r>
              <w:rPr>
                <w:sz w:val="28"/>
              </w:rPr>
              <w:t>Людмила Андреевна</w:t>
            </w:r>
          </w:p>
        </w:tc>
        <w:tc>
          <w:tcPr>
            <w:tcW w:type="dxa" w:w="540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00000">
            <w:pPr>
              <w:spacing w:after="0" w:before="0"/>
              <w:ind/>
              <w:rPr>
                <w:sz w:val="28"/>
              </w:rPr>
            </w:pPr>
            <w:r>
              <w:rPr>
                <w:sz w:val="28"/>
              </w:rPr>
              <w:t>- член Территориальной избирательной комиссии города Таганрога (западная) Ростовской области с правом решающего голоса</w:t>
            </w:r>
          </w:p>
        </w:tc>
      </w:tr>
      <w:tr>
        <w:tc>
          <w:tcPr>
            <w:tcW w:type="dxa" w:w="405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00000">
            <w:pPr>
              <w:ind/>
              <w:jc w:val="both"/>
              <w:rPr>
                <w:highlight w:val="white"/>
              </w:rPr>
            </w:pPr>
            <w:r>
              <w:rPr>
                <w:highlight w:val="white"/>
              </w:rPr>
              <w:t>Эксперты из числа</w:t>
            </w:r>
          </w:p>
          <w:p w14:paraId="B4000000">
            <w:pPr>
              <w:ind/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привлеченных</w:t>
            </w:r>
          </w:p>
          <w:p w14:paraId="B5000000">
            <w:pPr>
              <w:ind/>
              <w:jc w:val="both"/>
              <w:rPr>
                <w:highlight w:val="white"/>
              </w:rPr>
            </w:pPr>
            <w:r>
              <w:rPr>
                <w:highlight w:val="white"/>
              </w:rPr>
              <w:t>специалистов</w:t>
            </w:r>
          </w:p>
          <w:p w14:paraId="B6000000">
            <w:pPr>
              <w:spacing w:after="0" w:before="0"/>
              <w:ind/>
              <w:rPr>
                <w:sz w:val="28"/>
              </w:rPr>
            </w:pPr>
          </w:p>
        </w:tc>
        <w:tc>
          <w:tcPr>
            <w:tcW w:type="dxa" w:w="5403"/>
            <w:shd w:fill="auto" w:val="clear"/>
            <w:tcMar>
              <w:top w:type="dxa" w:w="0"/>
              <w:left w:type="dxa" w:w="108"/>
              <w:bottom w:type="dxa" w:w="57"/>
              <w:right w:type="dxa" w:w="108"/>
            </w:tcMar>
          </w:tcPr>
          <w:p w14:paraId="B7000000">
            <w:pPr>
              <w:ind/>
              <w:jc w:val="both"/>
            </w:pPr>
            <w:r>
              <w:t>– </w:t>
            </w:r>
            <w:r>
              <w:t>по согласованию</w:t>
            </w:r>
          </w:p>
        </w:tc>
      </w:tr>
      <w:tr>
        <w:tc>
          <w:tcPr>
            <w:tcW w:type="dxa" w:w="405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00000">
            <w:pPr>
              <w:spacing w:after="0" w:before="0"/>
              <w:ind/>
              <w:rPr>
                <w:sz w:val="28"/>
              </w:rPr>
            </w:pPr>
          </w:p>
        </w:tc>
        <w:tc>
          <w:tcPr>
            <w:tcW w:type="dxa" w:w="540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00000">
            <w:pPr>
              <w:spacing w:after="0" w:before="0"/>
              <w:ind/>
              <w:rPr>
                <w:sz w:val="28"/>
              </w:rPr>
            </w:pPr>
          </w:p>
        </w:tc>
      </w:tr>
    </w:tbl>
    <w:p w14:paraId="BA000000">
      <w:pPr>
        <w:widowControl w:val="0"/>
        <w:ind w:firstLine="0" w:left="5812"/>
        <w:jc w:val="center"/>
      </w:pPr>
    </w:p>
    <w:sectPr>
      <w:pgSz w:h="16840" w:orient="portrait" w:w="11907"/>
      <w:pgMar w:bottom="567" w:footer="1134" w:gutter="0" w:header="567" w:left="1418" w:right="851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lowerLetter"/>
      <w:lvlText w:val="%2."/>
      <w:lvlJc w:val="left"/>
      <w:pPr>
        <w:ind w:hanging="360" w:left="1080"/>
      </w:pPr>
    </w:lvl>
    <w:lvl w:ilvl="2">
      <w:start w:val="1"/>
      <w:numFmt w:val="lowerRoman"/>
      <w:lvlText w:val="%3."/>
      <w:lvlJc w:val="right"/>
      <w:pPr>
        <w:ind w:hanging="180" w:left="1800"/>
      </w:pPr>
    </w:lvl>
    <w:lvl w:ilvl="3">
      <w:start w:val="1"/>
      <w:numFmt w:val="decimal"/>
      <w:lvlText w:val="%4."/>
      <w:lvlJc w:val="left"/>
      <w:pPr>
        <w:ind w:hanging="360" w:left="2520"/>
      </w:pPr>
    </w:lvl>
    <w:lvl w:ilvl="4">
      <w:start w:val="1"/>
      <w:numFmt w:val="lowerLetter"/>
      <w:lvlText w:val="%5."/>
      <w:lvlJc w:val="left"/>
      <w:pPr>
        <w:ind w:hanging="360" w:left="3240"/>
      </w:pPr>
    </w:lvl>
    <w:lvl w:ilvl="5">
      <w:start w:val="1"/>
      <w:numFmt w:val="lowerRoman"/>
      <w:lvlText w:val="%6."/>
      <w:lvlJc w:val="right"/>
      <w:pPr>
        <w:ind w:hanging="180" w:left="3960"/>
      </w:pPr>
    </w:lvl>
    <w:lvl w:ilvl="6">
      <w:start w:val="1"/>
      <w:numFmt w:val="decimal"/>
      <w:lvlText w:val="%7."/>
      <w:lvlJc w:val="left"/>
      <w:pPr>
        <w:ind w:hanging="360" w:left="4680"/>
      </w:pPr>
    </w:lvl>
    <w:lvl w:ilvl="7">
      <w:start w:val="1"/>
      <w:numFmt w:val="lowerLetter"/>
      <w:lvlText w:val="%8."/>
      <w:lvlJc w:val="left"/>
      <w:pPr>
        <w:ind w:hanging="360" w:left="5400"/>
      </w:pPr>
    </w:lvl>
    <w:lvl w:ilvl="8">
      <w:start w:val="1"/>
      <w:numFmt w:val="lowerRoman"/>
      <w:lvlText w:val="%9."/>
      <w:lvlJc w:val="right"/>
      <w:pPr>
        <w:ind w:hanging="180" w:left="612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lowerLetter"/>
      <w:lvlText w:val="%2."/>
      <w:lvlJc w:val="left"/>
      <w:pPr>
        <w:ind w:hanging="360" w:left="1080"/>
      </w:pPr>
    </w:lvl>
    <w:lvl w:ilvl="2">
      <w:start w:val="1"/>
      <w:numFmt w:val="lowerRoman"/>
      <w:lvlText w:val="%3."/>
      <w:lvlJc w:val="right"/>
      <w:pPr>
        <w:ind w:hanging="180" w:left="1800"/>
      </w:pPr>
    </w:lvl>
    <w:lvl w:ilvl="3">
      <w:start w:val="1"/>
      <w:numFmt w:val="decimal"/>
      <w:lvlText w:val="%4."/>
      <w:lvlJc w:val="left"/>
      <w:pPr>
        <w:ind w:hanging="360" w:left="2520"/>
      </w:pPr>
    </w:lvl>
    <w:lvl w:ilvl="4">
      <w:start w:val="1"/>
      <w:numFmt w:val="lowerLetter"/>
      <w:lvlText w:val="%5."/>
      <w:lvlJc w:val="left"/>
      <w:pPr>
        <w:ind w:hanging="360" w:left="3240"/>
      </w:pPr>
    </w:lvl>
    <w:lvl w:ilvl="5">
      <w:start w:val="1"/>
      <w:numFmt w:val="lowerRoman"/>
      <w:lvlText w:val="%6."/>
      <w:lvlJc w:val="right"/>
      <w:pPr>
        <w:ind w:hanging="180" w:left="3960"/>
      </w:pPr>
    </w:lvl>
    <w:lvl w:ilvl="6">
      <w:start w:val="1"/>
      <w:numFmt w:val="decimal"/>
      <w:lvlText w:val="%7."/>
      <w:lvlJc w:val="left"/>
      <w:pPr>
        <w:ind w:hanging="360" w:left="4680"/>
      </w:pPr>
    </w:lvl>
    <w:lvl w:ilvl="7">
      <w:start w:val="1"/>
      <w:numFmt w:val="lowerLetter"/>
      <w:lvlText w:val="%8."/>
      <w:lvlJc w:val="left"/>
      <w:pPr>
        <w:ind w:hanging="360" w:left="5400"/>
      </w:pPr>
    </w:lvl>
    <w:lvl w:ilvl="8">
      <w:start w:val="1"/>
      <w:numFmt w:val="lowerRoman"/>
      <w:lvlText w:val="%9."/>
      <w:lvlJc w:val="right"/>
      <w:pPr>
        <w:ind w:hanging="180" w:left="61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sz w:val="28"/>
    </w:rPr>
  </w:style>
  <w:style w:default="1" w:styleId="Style_4_ch" w:type="character">
    <w:name w:val="Normal"/>
    <w:link w:val="Style_4"/>
    <w:rPr>
      <w:sz w:val="28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heading 7"/>
    <w:basedOn w:val="Style_4"/>
    <w:next w:val="Style_4"/>
    <w:link w:val="Style_7_ch"/>
    <w:uiPriority w:val="9"/>
    <w:qFormat/>
    <w:pPr>
      <w:spacing w:after="60" w:before="240"/>
      <w:ind/>
      <w:outlineLvl w:val="6"/>
    </w:pPr>
    <w:rPr>
      <w:sz w:val="24"/>
    </w:rPr>
  </w:style>
  <w:style w:styleId="Style_7_ch" w:type="character">
    <w:name w:val="heading 7"/>
    <w:basedOn w:val="Style_4_ch"/>
    <w:link w:val="Style_7"/>
    <w:rPr>
      <w:sz w:val="24"/>
    </w:rPr>
  </w:style>
  <w:style w:styleId="Style_8" w:type="paragraph">
    <w:name w:val="toc 6"/>
    <w:next w:val="Style_4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ConsNonformat"/>
    <w:link w:val="Style_10_ch"/>
    <w:pPr>
      <w:widowControl w:val="0"/>
      <w:ind/>
    </w:pPr>
    <w:rPr>
      <w:rFonts w:ascii="Courier New" w:hAnsi="Courier New"/>
    </w:rPr>
  </w:style>
  <w:style w:styleId="Style_10_ch" w:type="character">
    <w:name w:val="ConsNonformat"/>
    <w:link w:val="Style_10"/>
    <w:rPr>
      <w:rFonts w:ascii="Courier New" w:hAnsi="Courier New"/>
    </w:rPr>
  </w:style>
  <w:style w:styleId="Style_11" w:type="paragraph">
    <w:name w:val="Верхний колонтитул Знак1"/>
    <w:link w:val="Style_11_ch"/>
    <w:rPr>
      <w:rFonts w:ascii="Times New Roman" w:hAnsi="Times New Roman"/>
      <w:sz w:val="24"/>
    </w:rPr>
  </w:style>
  <w:style w:styleId="Style_11_ch" w:type="character">
    <w:name w:val="Верхний колонтитул Знак1"/>
    <w:link w:val="Style_11"/>
    <w:rPr>
      <w:rFonts w:ascii="Times New Roman" w:hAnsi="Times New Roman"/>
      <w:sz w:val="24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basedOn w:val="Style_4"/>
    <w:next w:val="Style_4"/>
    <w:link w:val="Style_13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13_ch" w:type="character">
    <w:name w:val="heading 3"/>
    <w:basedOn w:val="Style_4_ch"/>
    <w:link w:val="Style_13"/>
    <w:rPr>
      <w:rFonts w:ascii="Arial" w:hAnsi="Arial"/>
      <w:b w:val="1"/>
      <w:sz w:val="26"/>
    </w:rPr>
  </w:style>
  <w:style w:styleId="Style_14" w:type="paragraph">
    <w:name w:val="Balloon Text"/>
    <w:basedOn w:val="Style_4"/>
    <w:link w:val="Style_14_ch"/>
    <w:rPr>
      <w:rFonts w:ascii="Tahoma" w:hAnsi="Tahoma"/>
      <w:sz w:val="16"/>
    </w:rPr>
  </w:style>
  <w:style w:styleId="Style_14_ch" w:type="character">
    <w:name w:val="Balloon Text"/>
    <w:basedOn w:val="Style_4_ch"/>
    <w:link w:val="Style_14"/>
    <w:rPr>
      <w:rFonts w:ascii="Tahoma" w:hAnsi="Tahoma"/>
      <w:sz w:val="16"/>
    </w:rPr>
  </w:style>
  <w:style w:styleId="Style_1" w:type="paragraph">
    <w:name w:val="No Spacing"/>
    <w:link w:val="Style_1_ch"/>
    <w:rPr>
      <w:rFonts w:ascii="Calibri" w:hAnsi="Calibri"/>
      <w:sz w:val="22"/>
    </w:rPr>
  </w:style>
  <w:style w:styleId="Style_1_ch" w:type="character">
    <w:name w:val="No Spacing"/>
    <w:link w:val="Style_1"/>
    <w:rPr>
      <w:rFonts w:ascii="Calibri" w:hAnsi="Calibri"/>
      <w:sz w:val="22"/>
    </w:rPr>
  </w:style>
  <w:style w:styleId="Style_15" w:type="paragraph">
    <w:name w:val="ConsPlusNonformat"/>
    <w:link w:val="Style_15_ch"/>
    <w:pPr>
      <w:widowControl w:val="0"/>
      <w:ind/>
    </w:pPr>
    <w:rPr>
      <w:rFonts w:ascii="Courier New" w:hAnsi="Courier New"/>
    </w:rPr>
  </w:style>
  <w:style w:styleId="Style_15_ch" w:type="character">
    <w:name w:val="ConsPlusNonformat"/>
    <w:link w:val="Style_15"/>
    <w:rPr>
      <w:rFonts w:ascii="Courier New" w:hAnsi="Courier New"/>
    </w:rPr>
  </w:style>
  <w:style w:styleId="Style_16" w:type="paragraph">
    <w:name w:val="Body Text Indent 2"/>
    <w:basedOn w:val="Style_4"/>
    <w:link w:val="Style_16_ch"/>
    <w:pPr>
      <w:ind w:firstLine="851" w:left="0"/>
    </w:pPr>
  </w:style>
  <w:style w:styleId="Style_16_ch" w:type="character">
    <w:name w:val="Body Text Indent 2"/>
    <w:basedOn w:val="Style_4_ch"/>
    <w:link w:val="Style_16"/>
  </w:style>
  <w:style w:styleId="Style_17" w:type="paragraph">
    <w:name w:val="Проектный"/>
    <w:basedOn w:val="Style_4"/>
    <w:link w:val="Style_17_ch"/>
    <w:pPr>
      <w:spacing w:after="120" w:line="360" w:lineRule="auto"/>
      <w:ind w:firstLine="709" w:left="0"/>
      <w:jc w:val="both"/>
    </w:pPr>
  </w:style>
  <w:style w:styleId="Style_17_ch" w:type="character">
    <w:name w:val="Проектный"/>
    <w:basedOn w:val="Style_4_ch"/>
    <w:link w:val="Style_17"/>
  </w:style>
  <w:style w:styleId="Style_18" w:type="paragraph">
    <w:name w:val="Нижний колонтитул Знак"/>
    <w:link w:val="Style_18_ch"/>
    <w:rPr>
      <w:sz w:val="28"/>
    </w:rPr>
  </w:style>
  <w:style w:styleId="Style_18_ch" w:type="character">
    <w:name w:val="Нижний колонтитул Знак"/>
    <w:link w:val="Style_18"/>
    <w:rPr>
      <w:sz w:val="28"/>
    </w:rPr>
  </w:style>
  <w:style w:styleId="Style_19" w:type="paragraph">
    <w:name w:val="Загл.14"/>
    <w:basedOn w:val="Style_4"/>
    <w:link w:val="Style_19_ch"/>
    <w:pPr>
      <w:widowControl w:val="0"/>
      <w:ind/>
      <w:jc w:val="center"/>
    </w:pPr>
    <w:rPr>
      <w:b w:val="1"/>
    </w:rPr>
  </w:style>
  <w:style w:styleId="Style_19_ch" w:type="character">
    <w:name w:val="Загл.14"/>
    <w:basedOn w:val="Style_4_ch"/>
    <w:link w:val="Style_19"/>
    <w:rPr>
      <w:b w:val="1"/>
    </w:rPr>
  </w:style>
  <w:style w:styleId="Style_20" w:type="paragraph">
    <w:name w:val="toc 3"/>
    <w:next w:val="Style_4"/>
    <w:link w:val="Style_2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Заголовочек 1"/>
    <w:basedOn w:val="Style_4"/>
    <w:link w:val="Style_21_ch"/>
    <w:pPr>
      <w:spacing w:line="360" w:lineRule="auto"/>
      <w:ind/>
      <w:jc w:val="center"/>
    </w:pPr>
    <w:rPr>
      <w:b w:val="1"/>
      <w:smallCaps w:val="1"/>
      <w:spacing w:val="60"/>
    </w:rPr>
  </w:style>
  <w:style w:styleId="Style_21_ch" w:type="character">
    <w:name w:val="Заголовочек 1"/>
    <w:basedOn w:val="Style_4_ch"/>
    <w:link w:val="Style_21"/>
    <w:rPr>
      <w:b w:val="1"/>
      <w:smallCaps w:val="1"/>
      <w:spacing w:val="60"/>
    </w:rPr>
  </w:style>
  <w:style w:styleId="Style_22" w:type="paragraph">
    <w:name w:val="Текст 14-1.5.Стиль12-1"/>
    <w:basedOn w:val="Style_4"/>
    <w:link w:val="Style_22_ch"/>
    <w:pPr>
      <w:spacing w:line="360" w:lineRule="auto"/>
      <w:ind w:firstLine="709" w:left="0"/>
      <w:jc w:val="both"/>
    </w:pPr>
    <w:rPr>
      <w:sz w:val="24"/>
    </w:rPr>
  </w:style>
  <w:style w:styleId="Style_22_ch" w:type="character">
    <w:name w:val="Текст 14-1.5.Стиль12-1"/>
    <w:basedOn w:val="Style_4_ch"/>
    <w:link w:val="Style_22"/>
    <w:rPr>
      <w:sz w:val="24"/>
    </w:rPr>
  </w:style>
  <w:style w:styleId="Style_3" w:type="paragraph">
    <w:name w:val="Содерж"/>
    <w:basedOn w:val="Style_4"/>
    <w:link w:val="Style_3_ch"/>
    <w:pPr>
      <w:keepNext w:val="1"/>
      <w:spacing w:after="120"/>
      <w:ind/>
      <w:jc w:val="center"/>
    </w:pPr>
    <w:rPr>
      <w:b w:val="1"/>
    </w:rPr>
  </w:style>
  <w:style w:styleId="Style_3_ch" w:type="character">
    <w:name w:val="Содерж"/>
    <w:basedOn w:val="Style_4_ch"/>
    <w:link w:val="Style_3"/>
    <w:rPr>
      <w:b w:val="1"/>
    </w:rPr>
  </w:style>
  <w:style w:styleId="Style_23" w:type="paragraph">
    <w:name w:val="footer"/>
    <w:basedOn w:val="Style_4"/>
    <w:link w:val="Style_23_ch"/>
    <w:pPr>
      <w:tabs>
        <w:tab w:leader="none" w:pos="4677" w:val="center"/>
        <w:tab w:leader="none" w:pos="9355" w:val="right"/>
      </w:tabs>
      <w:ind/>
    </w:pPr>
  </w:style>
  <w:style w:styleId="Style_23_ch" w:type="character">
    <w:name w:val="footer"/>
    <w:basedOn w:val="Style_4_ch"/>
    <w:link w:val="Style_23"/>
  </w:style>
  <w:style w:styleId="Style_24" w:type="paragraph">
    <w:name w:val="Текст выноски Знак"/>
    <w:link w:val="Style_24_ch"/>
    <w:rPr>
      <w:rFonts w:ascii="Tahoma" w:hAnsi="Tahoma"/>
      <w:sz w:val="16"/>
    </w:rPr>
  </w:style>
  <w:style w:styleId="Style_24_ch" w:type="character">
    <w:name w:val="Текст выноски Знак"/>
    <w:link w:val="Style_24"/>
    <w:rPr>
      <w:rFonts w:ascii="Tahoma" w:hAnsi="Tahoma"/>
      <w:sz w:val="16"/>
    </w:rPr>
  </w:style>
  <w:style w:styleId="Style_25" w:type="paragraph">
    <w:name w:val="Рабочий"/>
    <w:basedOn w:val="Style_4"/>
    <w:link w:val="Style_25_ch"/>
    <w:pPr>
      <w:spacing w:line="360" w:lineRule="auto"/>
      <w:ind w:firstLine="709" w:left="0"/>
      <w:jc w:val="both"/>
    </w:pPr>
    <w:rPr>
      <w:sz w:val="24"/>
    </w:rPr>
  </w:style>
  <w:style w:styleId="Style_25_ch" w:type="character">
    <w:name w:val="Рабочий"/>
    <w:basedOn w:val="Style_4_ch"/>
    <w:link w:val="Style_25"/>
    <w:rPr>
      <w:sz w:val="24"/>
    </w:rPr>
  </w:style>
  <w:style w:styleId="Style_26" w:type="paragraph">
    <w:name w:val="Стиль1"/>
    <w:basedOn w:val="Style_4"/>
    <w:link w:val="Style_26_ch"/>
  </w:style>
  <w:style w:styleId="Style_26_ch" w:type="character">
    <w:name w:val="Стиль1"/>
    <w:basedOn w:val="Style_4_ch"/>
    <w:link w:val="Style_26"/>
  </w:style>
  <w:style w:styleId="Style_27" w:type="paragraph">
    <w:name w:val="Body Text Indent"/>
    <w:basedOn w:val="Style_4"/>
    <w:link w:val="Style_27_ch"/>
    <w:pPr>
      <w:ind w:firstLine="0" w:left="2832"/>
      <w:jc w:val="both"/>
    </w:pPr>
    <w:rPr>
      <w:b w:val="1"/>
    </w:rPr>
  </w:style>
  <w:style w:styleId="Style_27_ch" w:type="character">
    <w:name w:val="Body Text Indent"/>
    <w:basedOn w:val="Style_4_ch"/>
    <w:link w:val="Style_27"/>
    <w:rPr>
      <w:b w:val="1"/>
    </w:rPr>
  </w:style>
  <w:style w:styleId="Style_28" w:type="paragraph">
    <w:name w:val="heading 5"/>
    <w:basedOn w:val="Style_4"/>
    <w:next w:val="Style_4"/>
    <w:link w:val="Style_28_ch"/>
    <w:uiPriority w:val="9"/>
    <w:qFormat/>
    <w:pPr>
      <w:spacing w:after="60" w:before="240"/>
      <w:ind/>
      <w:outlineLvl w:val="4"/>
    </w:pPr>
    <w:rPr>
      <w:b w:val="1"/>
      <w:i w:val="1"/>
      <w:sz w:val="26"/>
    </w:rPr>
  </w:style>
  <w:style w:styleId="Style_28_ch" w:type="character">
    <w:name w:val="heading 5"/>
    <w:basedOn w:val="Style_4_ch"/>
    <w:link w:val="Style_28"/>
    <w:rPr>
      <w:b w:val="1"/>
      <w:i w:val="1"/>
      <w:sz w:val="26"/>
    </w:rPr>
  </w:style>
  <w:style w:styleId="Style_29" w:type="paragraph">
    <w:name w:val="Верхний колонтитул1"/>
    <w:basedOn w:val="Style_4"/>
    <w:link w:val="Style_29_ch"/>
    <w:pPr>
      <w:tabs>
        <w:tab w:leader="none" w:pos="4536" w:val="center"/>
        <w:tab w:leader="none" w:pos="9072" w:val="right"/>
      </w:tabs>
      <w:ind/>
    </w:pPr>
    <w:rPr>
      <w:sz w:val="20"/>
    </w:rPr>
  </w:style>
  <w:style w:styleId="Style_29_ch" w:type="character">
    <w:name w:val="Верхний колонтитул1"/>
    <w:basedOn w:val="Style_4_ch"/>
    <w:link w:val="Style_29"/>
    <w:rPr>
      <w:sz w:val="20"/>
    </w:rPr>
  </w:style>
  <w:style w:styleId="Style_30" w:type="paragraph">
    <w:name w:val="heading 1"/>
    <w:basedOn w:val="Style_4"/>
    <w:next w:val="Style_4"/>
    <w:link w:val="Style_30_ch"/>
    <w:uiPriority w:val="9"/>
    <w:qFormat/>
    <w:pPr>
      <w:keepNext w:val="1"/>
      <w:ind/>
      <w:outlineLvl w:val="0"/>
    </w:pPr>
  </w:style>
  <w:style w:styleId="Style_30_ch" w:type="character">
    <w:name w:val="heading 1"/>
    <w:basedOn w:val="Style_4_ch"/>
    <w:link w:val="Style_30"/>
  </w:style>
  <w:style w:styleId="Style_31" w:type="paragraph">
    <w:name w:val="Hyperlink"/>
    <w:link w:val="Style_31_ch"/>
    <w:rPr>
      <w:color w:val="0000FF"/>
      <w:u w:val="single"/>
    </w:rPr>
  </w:style>
  <w:style w:styleId="Style_31_ch" w:type="character">
    <w:name w:val="Hyperlink"/>
    <w:link w:val="Style_31"/>
    <w:rPr>
      <w:color w:val="0000FF"/>
      <w:u w:val="single"/>
    </w:rPr>
  </w:style>
  <w:style w:styleId="Style_32" w:type="paragraph">
    <w:name w:val="Footnote"/>
    <w:basedOn w:val="Style_4"/>
    <w:link w:val="Style_32_ch"/>
    <w:rPr>
      <w:rFonts w:ascii="Arial" w:hAnsi="Arial"/>
      <w:sz w:val="24"/>
    </w:rPr>
  </w:style>
  <w:style w:styleId="Style_32_ch" w:type="character">
    <w:name w:val="Footnote"/>
    <w:basedOn w:val="Style_4_ch"/>
    <w:link w:val="Style_32"/>
    <w:rPr>
      <w:rFonts w:ascii="Arial" w:hAnsi="Arial"/>
      <w:sz w:val="24"/>
    </w:rPr>
  </w:style>
  <w:style w:styleId="Style_33" w:type="paragraph">
    <w:name w:val="toc 1"/>
    <w:next w:val="Style_4"/>
    <w:link w:val="Style_3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3_ch" w:type="character">
    <w:name w:val="toc 1"/>
    <w:link w:val="Style_33"/>
    <w:rPr>
      <w:rFonts w:ascii="XO Thames" w:hAnsi="XO Thames"/>
      <w:b w:val="1"/>
      <w:sz w:val="28"/>
    </w:rPr>
  </w:style>
  <w:style w:styleId="Style_34" w:type="paragraph">
    <w:name w:val="Header and Footer"/>
    <w:link w:val="Style_34_ch"/>
    <w:pPr>
      <w:spacing w:line="240" w:lineRule="auto"/>
      <w:ind/>
      <w:jc w:val="both"/>
    </w:pPr>
    <w:rPr>
      <w:rFonts w:ascii="XO Thames" w:hAnsi="XO Thames"/>
      <w:sz w:val="20"/>
    </w:rPr>
  </w:style>
  <w:style w:styleId="Style_34_ch" w:type="character">
    <w:name w:val="Header and Footer"/>
    <w:link w:val="Style_34"/>
    <w:rPr>
      <w:rFonts w:ascii="XO Thames" w:hAnsi="XO Thames"/>
      <w:sz w:val="20"/>
    </w:rPr>
  </w:style>
  <w:style w:styleId="Style_35" w:type="paragraph">
    <w:name w:val="Body Text 2"/>
    <w:basedOn w:val="Style_4"/>
    <w:link w:val="Style_35_ch"/>
    <w:pPr>
      <w:spacing w:after="120" w:line="480" w:lineRule="auto"/>
      <w:ind/>
    </w:pPr>
  </w:style>
  <w:style w:styleId="Style_35_ch" w:type="character">
    <w:name w:val="Body Text 2"/>
    <w:basedOn w:val="Style_4_ch"/>
    <w:link w:val="Style_35"/>
  </w:style>
  <w:style w:styleId="Style_36" w:type="paragraph">
    <w:name w:val="footnote reference"/>
    <w:link w:val="Style_36_ch"/>
    <w:rPr>
      <w:vertAlign w:val="superscript"/>
    </w:rPr>
  </w:style>
  <w:style w:styleId="Style_36_ch" w:type="character">
    <w:name w:val="footnote reference"/>
    <w:link w:val="Style_36"/>
    <w:rPr>
      <w:vertAlign w:val="superscript"/>
    </w:rPr>
  </w:style>
  <w:style w:styleId="Style_37" w:type="paragraph">
    <w:name w:val="ConsPlusCell"/>
    <w:link w:val="Style_37_ch"/>
    <w:pPr>
      <w:widowControl w:val="0"/>
      <w:ind/>
    </w:pPr>
    <w:rPr>
      <w:rFonts w:ascii="Arial" w:hAnsi="Arial"/>
    </w:rPr>
  </w:style>
  <w:style w:styleId="Style_37_ch" w:type="character">
    <w:name w:val="ConsPlusCell"/>
    <w:link w:val="Style_37"/>
    <w:rPr>
      <w:rFonts w:ascii="Arial" w:hAnsi="Arial"/>
    </w:rPr>
  </w:style>
  <w:style w:styleId="Style_38" w:type="paragraph">
    <w:name w:val="Т-1"/>
    <w:basedOn w:val="Style_4"/>
    <w:link w:val="Style_38_ch"/>
    <w:pPr>
      <w:spacing w:line="360" w:lineRule="auto"/>
      <w:ind w:firstLine="720" w:left="0"/>
      <w:jc w:val="both"/>
    </w:pPr>
  </w:style>
  <w:style w:styleId="Style_38_ch" w:type="character">
    <w:name w:val="Т-1"/>
    <w:basedOn w:val="Style_4_ch"/>
    <w:link w:val="Style_38"/>
  </w:style>
  <w:style w:styleId="Style_39" w:type="paragraph">
    <w:name w:val="ConsPlusNormal"/>
    <w:link w:val="Style_39_ch"/>
    <w:pPr>
      <w:widowControl w:val="0"/>
      <w:ind w:firstLine="720" w:left="0"/>
    </w:pPr>
    <w:rPr>
      <w:rFonts w:ascii="Arial" w:hAnsi="Arial"/>
    </w:rPr>
  </w:style>
  <w:style w:styleId="Style_39_ch" w:type="character">
    <w:name w:val="ConsPlusNormal"/>
    <w:link w:val="Style_39"/>
    <w:rPr>
      <w:rFonts w:ascii="Arial" w:hAnsi="Arial"/>
    </w:rPr>
  </w:style>
  <w:style w:styleId="Style_40" w:type="paragraph">
    <w:name w:val="toc 9"/>
    <w:next w:val="Style_4"/>
    <w:link w:val="Style_4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40_ch" w:type="character">
    <w:name w:val="toc 9"/>
    <w:link w:val="Style_40"/>
    <w:rPr>
      <w:rFonts w:ascii="XO Thames" w:hAnsi="XO Thames"/>
      <w:sz w:val="28"/>
    </w:rPr>
  </w:style>
  <w:style w:styleId="Style_41" w:type="paragraph">
    <w:name w:val="page number"/>
    <w:basedOn w:val="Style_42"/>
    <w:link w:val="Style_41_ch"/>
  </w:style>
  <w:style w:styleId="Style_41_ch" w:type="character">
    <w:name w:val="page number"/>
    <w:basedOn w:val="Style_42_ch"/>
    <w:link w:val="Style_41"/>
  </w:style>
  <w:style w:styleId="Style_43" w:type="paragraph">
    <w:name w:val="Body Text 3"/>
    <w:basedOn w:val="Style_4"/>
    <w:link w:val="Style_43_ch"/>
    <w:pPr>
      <w:spacing w:after="120"/>
      <w:ind/>
    </w:pPr>
    <w:rPr>
      <w:sz w:val="16"/>
    </w:rPr>
  </w:style>
  <w:style w:styleId="Style_43_ch" w:type="character">
    <w:name w:val="Body Text 3"/>
    <w:basedOn w:val="Style_4_ch"/>
    <w:link w:val="Style_43"/>
    <w:rPr>
      <w:sz w:val="16"/>
    </w:rPr>
  </w:style>
  <w:style w:styleId="Style_44" w:type="paragraph">
    <w:name w:val="toc 8"/>
    <w:next w:val="Style_4"/>
    <w:link w:val="Style_4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44_ch" w:type="character">
    <w:name w:val="toc 8"/>
    <w:link w:val="Style_44"/>
    <w:rPr>
      <w:rFonts w:ascii="XO Thames" w:hAnsi="XO Thames"/>
      <w:sz w:val="28"/>
    </w:rPr>
  </w:style>
  <w:style w:styleId="Style_45" w:type="paragraph">
    <w:name w:val="Body Text"/>
    <w:basedOn w:val="Style_4"/>
    <w:link w:val="Style_45_ch"/>
    <w:pPr>
      <w:spacing w:line="360" w:lineRule="auto"/>
      <w:ind/>
      <w:jc w:val="both"/>
    </w:pPr>
  </w:style>
  <w:style w:styleId="Style_45_ch" w:type="character">
    <w:name w:val="Body Text"/>
    <w:basedOn w:val="Style_4_ch"/>
    <w:link w:val="Style_45"/>
  </w:style>
  <w:style w:styleId="Style_42" w:type="paragraph">
    <w:name w:val="Default Paragraph Font"/>
    <w:link w:val="Style_42_ch"/>
  </w:style>
  <w:style w:styleId="Style_42_ch" w:type="character">
    <w:name w:val="Default Paragraph Font"/>
    <w:link w:val="Style_42"/>
  </w:style>
  <w:style w:styleId="Style_46" w:type="paragraph">
    <w:name w:val="toc 5"/>
    <w:next w:val="Style_4"/>
    <w:link w:val="Style_4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46_ch" w:type="character">
    <w:name w:val="toc 5"/>
    <w:link w:val="Style_46"/>
    <w:rPr>
      <w:rFonts w:ascii="XO Thames" w:hAnsi="XO Thames"/>
      <w:sz w:val="28"/>
    </w:rPr>
  </w:style>
  <w:style w:styleId="Style_47" w:type="paragraph">
    <w:name w:val="Заголовок 11"/>
    <w:basedOn w:val="Style_4"/>
    <w:link w:val="Style_47_ch"/>
    <w:pPr>
      <w:keepNext w:val="1"/>
      <w:ind/>
      <w:outlineLvl w:val="0"/>
    </w:pPr>
    <w:rPr>
      <w:b w:val="1"/>
      <w:sz w:val="36"/>
    </w:rPr>
  </w:style>
  <w:style w:styleId="Style_47_ch" w:type="character">
    <w:name w:val="Заголовок 11"/>
    <w:basedOn w:val="Style_4_ch"/>
    <w:link w:val="Style_47"/>
    <w:rPr>
      <w:b w:val="1"/>
      <w:sz w:val="36"/>
    </w:rPr>
  </w:style>
  <w:style w:styleId="Style_48" w:type="paragraph">
    <w:name w:val="Body Text Indent 3"/>
    <w:basedOn w:val="Style_4"/>
    <w:link w:val="Style_48_ch"/>
    <w:pPr>
      <w:spacing w:line="360" w:lineRule="auto"/>
      <w:ind w:hanging="4962" w:left="5529"/>
      <w:jc w:val="both"/>
    </w:pPr>
  </w:style>
  <w:style w:styleId="Style_48_ch" w:type="character">
    <w:name w:val="Body Text Indent 3"/>
    <w:basedOn w:val="Style_4_ch"/>
    <w:link w:val="Style_48"/>
  </w:style>
  <w:style w:styleId="Style_49" w:type="paragraph">
    <w:name w:val="Адресат"/>
    <w:basedOn w:val="Style_4"/>
    <w:link w:val="Style_49_ch"/>
    <w:pPr>
      <w:ind w:firstLine="0" w:left="3969"/>
      <w:jc w:val="both"/>
    </w:pPr>
    <w:rPr>
      <w:sz w:val="16"/>
    </w:rPr>
  </w:style>
  <w:style w:styleId="Style_49_ch" w:type="character">
    <w:name w:val="Адресат"/>
    <w:basedOn w:val="Style_4_ch"/>
    <w:link w:val="Style_49"/>
    <w:rPr>
      <w:sz w:val="16"/>
    </w:rPr>
  </w:style>
  <w:style w:styleId="Style_50" w:type="paragraph">
    <w:name w:val="Subtitle"/>
    <w:next w:val="Style_4"/>
    <w:link w:val="Style_5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50_ch" w:type="character">
    <w:name w:val="Subtitle"/>
    <w:link w:val="Style_50"/>
    <w:rPr>
      <w:rFonts w:ascii="XO Thames" w:hAnsi="XO Thames"/>
      <w:i w:val="1"/>
      <w:sz w:val="24"/>
    </w:rPr>
  </w:style>
  <w:style w:styleId="Style_51" w:type="paragraph">
    <w:name w:val="header"/>
    <w:basedOn w:val="Style_4"/>
    <w:link w:val="Style_51_ch"/>
    <w:pPr>
      <w:tabs>
        <w:tab w:leader="none" w:pos="4677" w:val="center"/>
        <w:tab w:leader="none" w:pos="9355" w:val="right"/>
      </w:tabs>
      <w:ind/>
    </w:pPr>
  </w:style>
  <w:style w:styleId="Style_51_ch" w:type="character">
    <w:name w:val="header"/>
    <w:basedOn w:val="Style_4_ch"/>
    <w:link w:val="Style_51"/>
  </w:style>
  <w:style w:styleId="Style_52" w:type="paragraph">
    <w:name w:val="Title"/>
    <w:next w:val="Style_4"/>
    <w:link w:val="Style_5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52_ch" w:type="character">
    <w:name w:val="Title"/>
    <w:link w:val="Style_52"/>
    <w:rPr>
      <w:rFonts w:ascii="XO Thames" w:hAnsi="XO Thames"/>
      <w:b w:val="1"/>
      <w:caps w:val="1"/>
      <w:sz w:val="40"/>
    </w:rPr>
  </w:style>
  <w:style w:styleId="Style_53" w:type="paragraph">
    <w:name w:val="heading 4"/>
    <w:basedOn w:val="Style_4"/>
    <w:next w:val="Style_4"/>
    <w:link w:val="Style_53_ch"/>
    <w:uiPriority w:val="9"/>
    <w:qFormat/>
    <w:pPr>
      <w:keepNext w:val="1"/>
      <w:spacing w:line="360" w:lineRule="auto"/>
      <w:ind/>
      <w:jc w:val="center"/>
      <w:outlineLvl w:val="3"/>
    </w:pPr>
  </w:style>
  <w:style w:styleId="Style_53_ch" w:type="character">
    <w:name w:val="heading 4"/>
    <w:basedOn w:val="Style_4_ch"/>
    <w:link w:val="Style_53"/>
  </w:style>
  <w:style w:styleId="Style_54" w:type="paragraph">
    <w:name w:val="heading 2"/>
    <w:basedOn w:val="Style_4"/>
    <w:next w:val="Style_4"/>
    <w:link w:val="Style_54_ch"/>
    <w:uiPriority w:val="9"/>
    <w:qFormat/>
    <w:pPr>
      <w:keepNext w:val="1"/>
      <w:ind/>
      <w:jc w:val="center"/>
      <w:outlineLvl w:val="1"/>
    </w:pPr>
    <w:rPr>
      <w:b w:val="1"/>
    </w:rPr>
  </w:style>
  <w:style w:styleId="Style_54_ch" w:type="character">
    <w:name w:val="heading 2"/>
    <w:basedOn w:val="Style_4_ch"/>
    <w:link w:val="Style_54"/>
    <w:rPr>
      <w:b w:val="1"/>
    </w:rPr>
  </w:style>
  <w:style w:styleId="Style_55" w:type="paragraph">
    <w:name w:val="List Paragraph"/>
    <w:basedOn w:val="Style_4"/>
    <w:link w:val="Style_55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55_ch" w:type="character">
    <w:name w:val="List Paragraph"/>
    <w:basedOn w:val="Style_4_ch"/>
    <w:link w:val="Style_55"/>
    <w:rPr>
      <w:rFonts w:ascii="Calibri" w:hAnsi="Calibri"/>
      <w:sz w:val="22"/>
    </w:rPr>
  </w:style>
  <w:style w:styleId="Style_56" w:type="paragraph">
    <w:name w:val="Block Text"/>
    <w:basedOn w:val="Style_4"/>
    <w:link w:val="Style_56_ch"/>
    <w:pPr>
      <w:tabs>
        <w:tab w:leader="none" w:pos="7938" w:val="left"/>
      </w:tabs>
      <w:ind w:firstLine="0" w:left="1710" w:right="1717"/>
      <w:jc w:val="both"/>
    </w:pPr>
    <w:rPr>
      <w:rFonts w:ascii="Times New Roman CYR" w:hAnsi="Times New Roman CYR"/>
      <w:b w:val="1"/>
    </w:rPr>
  </w:style>
  <w:style w:styleId="Style_56_ch" w:type="character">
    <w:name w:val="Block Text"/>
    <w:basedOn w:val="Style_4_ch"/>
    <w:link w:val="Style_56"/>
    <w:rPr>
      <w:rFonts w:ascii="Times New Roman CYR" w:hAnsi="Times New Roman CYR"/>
      <w:b w:val="1"/>
    </w:rPr>
  </w:style>
  <w:style w:styleId="Style_57" w:type="paragraph">
    <w:name w:val="heading 6"/>
    <w:basedOn w:val="Style_4"/>
    <w:next w:val="Style_4"/>
    <w:link w:val="Style_57_ch"/>
    <w:uiPriority w:val="9"/>
    <w:qFormat/>
    <w:pPr>
      <w:spacing w:after="60" w:before="240"/>
      <w:ind/>
      <w:outlineLvl w:val="5"/>
    </w:pPr>
    <w:rPr>
      <w:rFonts w:ascii="Calibri" w:hAnsi="Calibri"/>
      <w:b w:val="1"/>
      <w:sz w:val="22"/>
    </w:rPr>
  </w:style>
  <w:style w:styleId="Style_57_ch" w:type="character">
    <w:name w:val="heading 6"/>
    <w:basedOn w:val="Style_4_ch"/>
    <w:link w:val="Style_57"/>
    <w:rPr>
      <w:rFonts w:ascii="Calibri" w:hAnsi="Calibri"/>
      <w:b w:val="1"/>
      <w:sz w:val="22"/>
    </w:rPr>
  </w:style>
  <w:style w:styleId="Style_58" w:type="table">
    <w:name w:val="Сетка таблицы1"/>
    <w:basedOn w:val="Style_2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9" w:type="table">
    <w:name w:val="Сетка таблицы2"/>
    <w:basedOn w:val="Style_2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0" w:type="table">
    <w:name w:val="Table Grid"/>
    <w:basedOn w:val="Style_2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MyOffice-CoreFramework-Windows/30-1057.739.7955.691.1@6f967f4b4ae0ae6f94b7d59183011075308df4f8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2023-07-12T12:18:25Z</dcterms:modified>
</cp:coreProperties>
</file>