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3" Target="docProps/core.xml" Type="http://schemas.openxmlformats.org/package/2006/relationships/metadata/core-properties"/>
  <Relationship Id="rId2" Target="docProps/app.xml" Type="http://schemas.openxmlformats.org/officeDocument/2006/relationships/extended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drawing>
          <wp:inline>
            <wp:extent cx="755650" cy="779145"/>
            <wp:effectExtent b="0" l="0" r="0" t="0"/>
            <wp:docPr hidden="false" id="2" name="Picture 2"/>
            <a:graphic>
              <a:graphicData uri="http://schemas.openxmlformats.org/drawingml/2006/picture">
                <pic:pic>
                  <pic:nvPicPr>
                    <pic:cNvPr hidden="false" id="1" name="Picture 1"/>
                    <pic:cNvPicPr preferRelativeResize="true"/>
                  </pic:nvPicPr>
                  <pic:blipFill>
                    <a:blip r:embed="rId1"/>
                    <a:srcRect b="0" l="0" r="0" t="0"/>
                    <a:stretch/>
                  </pic:blipFill>
                  <pic:spPr>
                    <a:xfrm flipH="false" flipV="false" rot="0">
                      <a:ext cx="755650" cy="779145"/>
                    </a:xfrm>
                    <a:prstGeom prst="rect"/>
                  </pic:spPr>
                </pic:pic>
              </a:graphicData>
            </a:graphic>
          </wp:inline>
        </w:drawing>
      </w:r>
    </w:p>
    <w:p w14:paraId="02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ТЕРРИТОРИАЛЬНАЯ ИЗБИРАТЕЛЬНАЯ КОМИССИЯ</w:t>
      </w:r>
    </w:p>
    <w:p w14:paraId="03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ГОРОДА ТАГАНРОГА (</w:t>
      </w:r>
      <w:r>
        <w:rPr>
          <w:rFonts w:ascii="Times New Roman" w:hAnsi="Times New Roman"/>
          <w:b w:val="1"/>
          <w:sz w:val="28"/>
        </w:rPr>
        <w:t>ЗАПАДНАЯ</w:t>
      </w:r>
      <w:r>
        <w:rPr>
          <w:rFonts w:ascii="Times New Roman" w:hAnsi="Times New Roman"/>
          <w:b w:val="1"/>
          <w:sz w:val="28"/>
        </w:rPr>
        <w:t xml:space="preserve">) </w:t>
      </w:r>
      <w:r>
        <w:rPr>
          <w:rFonts w:ascii="Times New Roman" w:hAnsi="Times New Roman"/>
          <w:b w:val="1"/>
          <w:sz w:val="28"/>
        </w:rPr>
        <w:t>РОСТОВСКОЙ ОБЛАСТИ</w:t>
      </w:r>
    </w:p>
    <w:p w14:paraId="04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5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</w:p>
    <w:p w14:paraId="06000000">
      <w:pPr>
        <w:widowControl w:val="0"/>
        <w:spacing w:after="0" w:line="240" w:lineRule="auto"/>
        <w:ind w:firstLine="0" w:left="0"/>
        <w:jc w:val="center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ПОСТАНОВЛЕНИЕ</w:t>
      </w:r>
    </w:p>
    <w:p w14:paraId="07000000">
      <w:pPr>
        <w:widowControl w:val="0"/>
        <w:tabs>
          <w:tab w:leader="none" w:pos="750" w:val="left"/>
          <w:tab w:leader="none" w:pos="900" w:val="left"/>
        </w:tabs>
        <w:ind/>
        <w:jc w:val="center"/>
        <w:rPr>
          <w:b w:val="1"/>
        </w:rPr>
      </w:pPr>
    </w:p>
    <w:p w14:paraId="08000000">
      <w:pPr>
        <w:rPr>
          <w:sz w:val="28"/>
        </w:rPr>
      </w:pPr>
      <w:r>
        <w:rPr>
          <w:sz w:val="28"/>
        </w:rPr>
        <w:t xml:space="preserve">     03 августа 2026</w:t>
      </w:r>
      <w:r>
        <w:rPr>
          <w:sz w:val="28"/>
        </w:rPr>
        <w:t xml:space="preserve"> г.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 xml:space="preserve">         </w:t>
      </w:r>
      <w:r>
        <w:rPr>
          <w:sz w:val="28"/>
        </w:rPr>
        <w:t>№ 13-1</w:t>
      </w:r>
    </w:p>
    <w:p w14:paraId="09000000">
      <w:pPr>
        <w:widowControl w:val="0"/>
        <w:spacing w:line="230" w:lineRule="exact"/>
        <w:ind/>
      </w:pPr>
    </w:p>
    <w:p w14:paraId="0A000000">
      <w:pPr>
        <w:widowControl w:val="0"/>
        <w:spacing w:line="230" w:lineRule="exact"/>
        <w:ind/>
      </w:pPr>
      <w:r>
        <w:rPr>
          <w:sz w:val="28"/>
        </w:rPr>
        <w:t xml:space="preserve">                                                        г. </w:t>
      </w:r>
      <w:r>
        <w:rPr>
          <w:sz w:val="28"/>
        </w:rPr>
        <w:t>Таганрог</w:t>
      </w:r>
    </w:p>
    <w:p w14:paraId="0B000000">
      <w:pPr>
        <w:widowControl w:val="0"/>
        <w:spacing w:line="230" w:lineRule="exact"/>
        <w:ind/>
      </w:pPr>
    </w:p>
    <w:p w14:paraId="0C000000">
      <w:pPr>
        <w:widowControl w:val="0"/>
        <w:spacing w:line="230" w:lineRule="exact"/>
        <w:ind/>
        <w:rPr>
          <w:color w:val="000000"/>
          <w:spacing w:val="3"/>
          <w:sz w:val="28"/>
        </w:rPr>
      </w:pPr>
    </w:p>
    <w:p w14:paraId="0D000000">
      <w:pPr>
        <w:widowControl w:val="0"/>
        <w:tabs>
          <w:tab w:leader="none" w:pos="1701" w:val="left"/>
        </w:tabs>
        <w:ind w:firstLine="0" w:left="1701" w:right="1984"/>
        <w:jc w:val="both"/>
        <w:rPr>
          <w:b w:val="1"/>
          <w:color w:val="000000"/>
          <w:spacing w:val="3"/>
          <w:sz w:val="28"/>
        </w:rPr>
      </w:pPr>
      <w:r>
        <w:rPr>
          <w:b w:val="1"/>
          <w:color w:val="000000"/>
          <w:spacing w:val="1"/>
          <w:sz w:val="28"/>
        </w:rPr>
        <w:t xml:space="preserve">О количестве используемых </w:t>
      </w:r>
      <w:r>
        <w:rPr>
          <w:b w:val="1"/>
          <w:color w:val="000000"/>
          <w:spacing w:val="-1"/>
          <w:sz w:val="28"/>
        </w:rPr>
        <w:t xml:space="preserve">переносных </w:t>
      </w:r>
      <w:r>
        <w:rPr>
          <w:b w:val="1"/>
          <w:color w:val="000000"/>
          <w:spacing w:val="9"/>
          <w:sz w:val="28"/>
        </w:rPr>
        <w:t xml:space="preserve">ящиков </w:t>
      </w:r>
      <w:r>
        <w:rPr>
          <w:b w:val="1"/>
          <w:color w:val="000000"/>
          <w:spacing w:val="5"/>
          <w:sz w:val="28"/>
        </w:rPr>
        <w:t xml:space="preserve">для голосования </w:t>
      </w:r>
      <w:r>
        <w:rPr>
          <w:b w:val="1"/>
          <w:color w:val="000000"/>
          <w:spacing w:val="3"/>
          <w:sz w:val="28"/>
        </w:rPr>
        <w:t>вне помещения для голосования</w:t>
      </w:r>
      <w:r>
        <w:rPr>
          <w:b w:val="1"/>
          <w:color w:val="000000"/>
          <w:spacing w:val="3"/>
          <w:sz w:val="28"/>
        </w:rPr>
        <w:t xml:space="preserve"> на выборах</w:t>
      </w:r>
      <w:r>
        <w:rPr>
          <w:b w:val="1"/>
          <w:color w:val="000000"/>
          <w:spacing w:val="3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 депутатов Государственной Думы Федерального Собрания Российской Федерации девятого созыва</w:t>
      </w:r>
    </w:p>
    <w:p w14:paraId="0E000000">
      <w:pPr>
        <w:widowControl w:val="0"/>
        <w:tabs>
          <w:tab w:leader="none" w:pos="1701" w:val="left"/>
        </w:tabs>
        <w:ind w:firstLine="0" w:left="1701" w:right="1984"/>
        <w:jc w:val="both"/>
        <w:rPr>
          <w:rFonts w:ascii="Times New Roman" w:hAnsi="Times New Roman"/>
          <w:b w:val="1"/>
          <w:sz w:val="28"/>
        </w:rPr>
      </w:pPr>
    </w:p>
    <w:p w14:paraId="0F000000">
      <w:pPr>
        <w:widowControl w:val="0"/>
        <w:spacing w:line="276" w:lineRule="auto"/>
        <w:ind/>
        <w:jc w:val="both"/>
        <w:rPr>
          <w:sz w:val="28"/>
          <w:vertAlign w:val="superscript"/>
        </w:rPr>
      </w:pPr>
      <w:r>
        <w:rPr>
          <w:color w:val="000000"/>
          <w:spacing w:val="3"/>
          <w:sz w:val="28"/>
        </w:rPr>
        <w:t xml:space="preserve">       Руководствуясь пунктом </w:t>
      </w:r>
      <w:r>
        <w:rPr>
          <w:color w:val="000000"/>
          <w:spacing w:val="3"/>
          <w:sz w:val="28"/>
        </w:rPr>
        <w:t>8 статьи 66 Федерального закона  от 12.06.2002г № 67</w:t>
      </w:r>
      <w:r>
        <w:rPr>
          <w:color w:val="000000"/>
          <w:spacing w:val="3"/>
          <w:sz w:val="28"/>
        </w:rPr>
        <w:t xml:space="preserve"> «О</w:t>
      </w:r>
      <w:r>
        <w:rPr>
          <w:color w:val="000000"/>
          <w:spacing w:val="3"/>
          <w:sz w:val="28"/>
        </w:rPr>
        <w:t>б основных гарантиях избирательных прав</w:t>
      </w:r>
      <w:r>
        <w:rPr>
          <w:color w:val="00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 xml:space="preserve"> и права на участие </w:t>
      </w:r>
      <w:r>
        <w:rPr>
          <w:color w:val="000000"/>
          <w:spacing w:val="3"/>
          <w:sz w:val="28"/>
        </w:rPr>
        <w:t>в референдуме граждан  Российской Федерации»</w:t>
      </w:r>
      <w:r>
        <w:rPr>
          <w:color w:val="000000"/>
          <w:spacing w:val="3"/>
          <w:sz w:val="28"/>
        </w:rPr>
        <w:t>,</w:t>
      </w:r>
      <w:r>
        <w:rPr>
          <w:sz w:val="28"/>
        </w:rPr>
        <w:t xml:space="preserve"> </w:t>
      </w:r>
      <w:r>
        <w:rPr>
          <w:spacing w:val="3"/>
          <w:sz w:val="28"/>
        </w:rPr>
        <w:t>Постановление ЦИК</w:t>
      </w:r>
      <w:r>
        <w:rPr>
          <w:spacing w:val="3"/>
          <w:sz w:val="28"/>
        </w:rPr>
        <w:t xml:space="preserve"> от 29.01.2014г № 214/1405-6</w:t>
      </w:r>
      <w:r>
        <w:rPr>
          <w:spacing w:val="3"/>
          <w:sz w:val="28"/>
        </w:rPr>
        <w:t xml:space="preserve"> (ред. от 28.04.2021)</w:t>
      </w:r>
      <w:r>
        <w:rPr>
          <w:spacing w:val="3"/>
          <w:sz w:val="28"/>
        </w:rPr>
        <w:t xml:space="preserve"> «О нормативах технологического оборудования для участковых комиссий при проведении выборов, референдумов в Российской Федерации»</w:t>
      </w:r>
      <w:r>
        <w:rPr>
          <w:spacing w:val="3"/>
          <w:sz w:val="28"/>
        </w:rPr>
        <w:t>,</w:t>
      </w:r>
      <w:r>
        <w:rPr>
          <w:b w:val="1"/>
          <w:spacing w:val="3"/>
          <w:sz w:val="28"/>
        </w:rPr>
        <w:t xml:space="preserve"> </w:t>
      </w:r>
      <w:r>
        <w:rPr>
          <w:color w:val="FF0000"/>
          <w:spacing w:val="3"/>
          <w:sz w:val="28"/>
        </w:rPr>
        <w:t xml:space="preserve"> </w:t>
      </w:r>
      <w:r>
        <w:rPr>
          <w:color w:val="000000"/>
          <w:spacing w:val="3"/>
          <w:sz w:val="28"/>
        </w:rPr>
        <w:t xml:space="preserve">  </w:t>
      </w:r>
      <w:r>
        <w:rPr>
          <w:sz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</w:rPr>
        <w:t>города Таганрога (западная) Ростовской области</w:t>
      </w:r>
    </w:p>
    <w:p w14:paraId="10000000">
      <w:pPr>
        <w:widowControl w:val="0"/>
        <w:spacing w:line="276" w:lineRule="auto"/>
        <w:ind/>
        <w:jc w:val="both"/>
        <w:rPr>
          <w:rFonts w:ascii="Times New Roman" w:hAnsi="Times New Roman"/>
          <w:sz w:val="28"/>
        </w:rPr>
      </w:pPr>
    </w:p>
    <w:p w14:paraId="11000000">
      <w:pPr>
        <w:widowControl w:val="0"/>
        <w:spacing w:line="276" w:lineRule="auto"/>
        <w:ind/>
        <w:jc w:val="center"/>
        <w:rPr>
          <w:sz w:val="28"/>
        </w:rPr>
      </w:pPr>
      <w:r>
        <w:rPr>
          <w:b w:val="1"/>
          <w:sz w:val="28"/>
        </w:rPr>
        <w:t>ПОСТАНОВЛЯЕТ</w:t>
      </w:r>
      <w:r>
        <w:rPr>
          <w:sz w:val="28"/>
        </w:rPr>
        <w:t>:</w:t>
      </w:r>
    </w:p>
    <w:p w14:paraId="12000000">
      <w:pPr>
        <w:widowControl w:val="0"/>
        <w:spacing w:line="276" w:lineRule="auto"/>
        <w:ind/>
        <w:jc w:val="center"/>
        <w:rPr>
          <w:b w:val="1"/>
          <w:color w:val="000000"/>
          <w:spacing w:val="3"/>
          <w:sz w:val="28"/>
        </w:rPr>
      </w:pPr>
    </w:p>
    <w:p w14:paraId="13000000">
      <w:pPr>
        <w:widowControl w:val="0"/>
        <w:tabs>
          <w:tab w:leader="none" w:pos="0" w:val="left"/>
        </w:tabs>
        <w:spacing w:line="276" w:lineRule="auto"/>
        <w:ind w:right="76"/>
        <w:jc w:val="both"/>
        <w:rPr>
          <w:rFonts w:ascii="Times New Roman" w:hAnsi="Times New Roman"/>
          <w:sz w:val="28"/>
        </w:rPr>
      </w:pPr>
      <w:r>
        <w:rPr>
          <w:color w:val="000000"/>
          <w:spacing w:val="3"/>
          <w:sz w:val="28"/>
        </w:rPr>
        <w:tab/>
      </w:r>
      <w:r>
        <w:rPr>
          <w:rFonts w:ascii="Times New Roman" w:hAnsi="Times New Roman"/>
          <w:color w:val="000000"/>
          <w:spacing w:val="3"/>
          <w:sz w:val="28"/>
        </w:rPr>
        <w:t xml:space="preserve"> </w:t>
      </w:r>
      <w:r>
        <w:rPr>
          <w:rFonts w:ascii="Times New Roman" w:hAnsi="Times New Roman"/>
          <w:sz w:val="28"/>
        </w:rPr>
        <w:t>1. </w:t>
      </w:r>
      <w:r>
        <w:rPr>
          <w:rFonts w:ascii="Times New Roman" w:hAnsi="Times New Roman"/>
          <w:sz w:val="28"/>
        </w:rPr>
        <w:t xml:space="preserve">Утвердить </w:t>
      </w:r>
      <w:r>
        <w:rPr>
          <w:rFonts w:ascii="Times New Roman" w:hAnsi="Times New Roman"/>
          <w:sz w:val="28"/>
        </w:rPr>
        <w:t xml:space="preserve">количество </w:t>
      </w:r>
      <w:r>
        <w:rPr>
          <w:rFonts w:ascii="Times New Roman" w:hAnsi="Times New Roman"/>
          <w:sz w:val="28"/>
        </w:rP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  <w:r>
        <w:rPr>
          <w:rFonts w:ascii="Times New Roman" w:hAnsi="Times New Roman"/>
          <w:b w:val="0"/>
          <w:sz w:val="28"/>
        </w:rPr>
        <w:t xml:space="preserve"> 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</w:rPr>
        <w:t>согласно приложению</w:t>
      </w:r>
      <w:r>
        <w:rPr>
          <w:rFonts w:ascii="Times New Roman" w:hAnsi="Times New Roman"/>
          <w:sz w:val="28"/>
        </w:rPr>
        <w:t>.</w:t>
      </w:r>
    </w:p>
    <w:p w14:paraId="14000000">
      <w:pPr>
        <w:widowControl w:val="1"/>
        <w:spacing w:line="360" w:lineRule="auto"/>
        <w:ind w:firstLine="709"/>
        <w:jc w:val="both"/>
        <w:rPr>
          <w:rFonts w:ascii="Times New Roman" w:hAnsi="Times New Roman"/>
          <w:b w:val="0"/>
          <w:sz w:val="28"/>
        </w:rPr>
      </w:pPr>
      <w:r>
        <w:rPr>
          <w:rFonts w:ascii="Times New Roman" w:hAnsi="Times New Roman"/>
          <w:sz w:val="28"/>
        </w:rPr>
        <w:t>2. </w:t>
      </w:r>
      <w:r>
        <w:rPr>
          <w:rFonts w:ascii="Times New Roman" w:hAnsi="Times New Roman"/>
          <w:sz w:val="28"/>
        </w:rPr>
        <w:t xml:space="preserve">Направить настоящее постановление </w:t>
      </w:r>
      <w:r>
        <w:rPr>
          <w:rFonts w:ascii="Times New Roman" w:hAnsi="Times New Roman"/>
          <w:sz w:val="28"/>
        </w:rPr>
        <w:t>в</w:t>
      </w:r>
      <w:r>
        <w:rPr>
          <w:rFonts w:ascii="Times New Roman" w:hAnsi="Times New Roman"/>
          <w:sz w:val="28"/>
        </w:rPr>
        <w:t xml:space="preserve"> участковы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избирательны</w:t>
      </w:r>
      <w:r>
        <w:rPr>
          <w:rFonts w:ascii="Times New Roman" w:hAnsi="Times New Roman"/>
          <w:sz w:val="28"/>
        </w:rPr>
        <w:t>е</w:t>
      </w:r>
      <w:r>
        <w:rPr>
          <w:rFonts w:ascii="Times New Roman" w:hAnsi="Times New Roman"/>
          <w:sz w:val="28"/>
        </w:rPr>
        <w:t xml:space="preserve"> ко</w:t>
      </w:r>
      <w:r>
        <w:rPr>
          <w:rFonts w:ascii="Times New Roman" w:hAnsi="Times New Roman"/>
          <w:sz w:val="28"/>
        </w:rPr>
        <w:t>миссии, участвующие в подготовке и проведении выборов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b w:val="1"/>
          <w:sz w:val="28"/>
        </w:rPr>
        <w:t xml:space="preserve"> </w:t>
      </w:r>
      <w:r>
        <w:rPr>
          <w:rFonts w:ascii="Times New Roman" w:hAnsi="Times New Roman"/>
          <w:b w:val="0"/>
          <w:sz w:val="28"/>
        </w:rPr>
        <w:t>депутатов Государственной Думы Федерального Собрания Российской Федерации девятого созыва</w:t>
      </w:r>
      <w:r>
        <w:rPr>
          <w:rFonts w:ascii="Times New Roman" w:hAnsi="Times New Roman"/>
          <w:b w:val="0"/>
          <w:sz w:val="28"/>
        </w:rPr>
        <w:t>.</w:t>
      </w:r>
    </w:p>
    <w:p w14:paraId="15000000">
      <w:pPr>
        <w:widowControl w:val="1"/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</w:t>
      </w:r>
      <w:r>
        <w:rPr>
          <w:rFonts w:ascii="Times New Roman" w:hAnsi="Times New Roman"/>
          <w:sz w:val="28"/>
        </w:rPr>
        <w:t> </w:t>
      </w:r>
      <w:r>
        <w:rPr>
          <w:rFonts w:ascii="Times New Roman" w:hAnsi="Times New Roman"/>
          <w:sz w:val="28"/>
        </w:rPr>
        <w:t>Разместить</w:t>
      </w:r>
      <w:r>
        <w:rPr>
          <w:rFonts w:ascii="Times New Roman" w:hAnsi="Times New Roman"/>
          <w:sz w:val="28"/>
        </w:rPr>
        <w:t xml:space="preserve"> настоящее постановление</w:t>
      </w:r>
      <w:r>
        <w:rPr>
          <w:rFonts w:ascii="Times New Roman" w:hAnsi="Times New Roman"/>
          <w:sz w:val="28"/>
        </w:rPr>
        <w:t xml:space="preserve"> на сайте </w:t>
      </w:r>
      <w:r>
        <w:rPr>
          <w:rFonts w:ascii="Times New Roman" w:hAnsi="Times New Roman"/>
          <w:sz w:val="28"/>
        </w:rPr>
        <w:t>Т</w:t>
      </w:r>
      <w:r>
        <w:rPr>
          <w:rFonts w:ascii="Times New Roman" w:hAnsi="Times New Roman"/>
          <w:sz w:val="28"/>
        </w:rPr>
        <w:t>ерриториальной избирательной комиссии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города Таганрога</w:t>
      </w:r>
      <w:r>
        <w:rPr>
          <w:rFonts w:ascii="Times New Roman" w:hAnsi="Times New Roman"/>
          <w:b w:val="0"/>
          <w:spacing w:val="0"/>
          <w:sz w:val="28"/>
        </w:rPr>
        <w:t xml:space="preserve"> (западная) Ростовской области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в информационно-телекоммуникационной сети «Интернет».</w:t>
      </w:r>
    </w:p>
    <w:p w14:paraId="16000000">
      <w:pPr>
        <w:widowControl w:val="1"/>
        <w:spacing w:after="0" w:before="0" w:line="360" w:lineRule="auto"/>
        <w:ind w:firstLine="709" w:right="28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4</w:t>
      </w:r>
      <w:r>
        <w:rPr>
          <w:b w:val="0"/>
          <w:spacing w:val="0"/>
          <w:sz w:val="28"/>
        </w:rPr>
        <w:t>. </w:t>
      </w:r>
      <w:r>
        <w:rPr>
          <w:b w:val="0"/>
          <w:spacing w:val="0"/>
          <w:sz w:val="28"/>
        </w:rPr>
        <w:t>Контроль за</w:t>
      </w:r>
      <w:r>
        <w:rPr>
          <w:b w:val="0"/>
          <w:spacing w:val="0"/>
          <w:sz w:val="28"/>
        </w:rPr>
        <w:t xml:space="preserve"> исполнением настоящего постановления возложить </w:t>
      </w:r>
      <w:r>
        <w:rPr>
          <w:b w:val="0"/>
          <w:spacing w:val="0"/>
          <w:sz w:val="28"/>
        </w:rPr>
        <w:br/>
      </w:r>
      <w:r>
        <w:rPr>
          <w:b w:val="0"/>
          <w:spacing w:val="0"/>
          <w:sz w:val="28"/>
        </w:rPr>
        <w:t xml:space="preserve">на </w:t>
      </w:r>
      <w:r>
        <w:rPr>
          <w:b w:val="0"/>
          <w:spacing w:val="0"/>
          <w:sz w:val="28"/>
        </w:rPr>
        <w:t>секретаря</w:t>
      </w:r>
      <w:r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>Т</w:t>
      </w:r>
      <w:r>
        <w:rPr>
          <w:b w:val="0"/>
          <w:spacing w:val="0"/>
          <w:sz w:val="28"/>
        </w:rPr>
        <w:t>ерриториальной избирательной комиссии города Таганрога</w:t>
      </w:r>
      <w:r>
        <w:rPr>
          <w:b w:val="0"/>
          <w:spacing w:val="0"/>
          <w:sz w:val="28"/>
        </w:rPr>
        <w:t xml:space="preserve"> (западная) Ростовской области</w:t>
      </w:r>
      <w:r>
        <w:rPr>
          <w:b w:val="0"/>
          <w:spacing w:val="0"/>
          <w:sz w:val="28"/>
        </w:rPr>
        <w:t xml:space="preserve"> Н.В.Мельникову.</w:t>
      </w:r>
    </w:p>
    <w:p w14:paraId="17000000">
      <w:pPr>
        <w:widowControl w:val="0"/>
        <w:tabs>
          <w:tab w:leader="none" w:pos="0" w:val="left"/>
        </w:tabs>
        <w:spacing w:line="276" w:lineRule="auto"/>
        <w:ind w:right="76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</w:p>
    <w:p w14:paraId="18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9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A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B000000">
      <w:pPr>
        <w:widowControl w:val="0"/>
        <w:tabs>
          <w:tab w:leader="none" w:pos="0" w:val="left"/>
        </w:tabs>
        <w:spacing w:line="276" w:lineRule="auto"/>
        <w:ind w:firstLine="720" w:left="0"/>
        <w:jc w:val="both"/>
      </w:pPr>
    </w:p>
    <w:p w14:paraId="1C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  <w:r>
        <w:rPr>
          <w:color w:val="000000"/>
          <w:spacing w:val="3"/>
          <w:sz w:val="28"/>
        </w:rPr>
        <w:t>Председатель комиссии</w:t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>А.М.Ищенко</w:t>
      </w:r>
    </w:p>
    <w:p w14:paraId="1D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1E000000">
      <w:pPr>
        <w:widowControl w:val="0"/>
        <w:tabs>
          <w:tab w:leader="none" w:pos="0" w:val="left"/>
        </w:tabs>
        <w:ind w:firstLine="0" w:left="720"/>
        <w:jc w:val="both"/>
      </w:pPr>
      <w:r>
        <w:rPr>
          <w:color w:val="000000"/>
          <w:spacing w:val="3"/>
          <w:sz w:val="28"/>
        </w:rPr>
        <w:t>Секретарь комиссии</w:t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ab/>
      </w:r>
      <w:r>
        <w:rPr>
          <w:color w:val="000000"/>
          <w:spacing w:val="3"/>
          <w:sz w:val="28"/>
        </w:rPr>
        <w:t>Н.В.Мельникова</w:t>
      </w:r>
    </w:p>
    <w:p w14:paraId="1F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0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1000000">
      <w:pPr>
        <w:widowControl w:val="0"/>
        <w:tabs>
          <w:tab w:leader="none" w:pos="0" w:val="left"/>
        </w:tabs>
        <w:ind w:firstLine="0" w:left="720"/>
        <w:jc w:val="both"/>
      </w:pPr>
    </w:p>
    <w:p w14:paraId="22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3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4000000">
      <w:pPr>
        <w:widowControl w:val="0"/>
        <w:tabs>
          <w:tab w:leader="none" w:pos="0" w:val="left"/>
        </w:tabs>
        <w:ind w:firstLine="0" w:left="720"/>
        <w:jc w:val="both"/>
      </w:pPr>
    </w:p>
    <w:p w14:paraId="25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6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7000000">
      <w:pPr>
        <w:widowControl w:val="0"/>
        <w:tabs>
          <w:tab w:leader="none" w:pos="0" w:val="left"/>
        </w:tabs>
        <w:ind w:firstLine="0" w:left="720"/>
        <w:jc w:val="both"/>
      </w:pPr>
    </w:p>
    <w:p w14:paraId="28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9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A000000">
      <w:pPr>
        <w:widowControl w:val="0"/>
        <w:tabs>
          <w:tab w:leader="none" w:pos="0" w:val="left"/>
        </w:tabs>
        <w:ind w:firstLine="0" w:left="720"/>
        <w:jc w:val="both"/>
      </w:pPr>
    </w:p>
    <w:p w14:paraId="2B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C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D000000">
      <w:pPr>
        <w:widowControl w:val="0"/>
        <w:tabs>
          <w:tab w:leader="none" w:pos="0" w:val="left"/>
        </w:tabs>
        <w:ind w:firstLine="0" w:left="720"/>
        <w:jc w:val="both"/>
      </w:pPr>
    </w:p>
    <w:p w14:paraId="2E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2F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0000000">
      <w:pPr>
        <w:widowControl w:val="0"/>
        <w:tabs>
          <w:tab w:leader="none" w:pos="0" w:val="left"/>
        </w:tabs>
        <w:ind w:firstLine="0" w:left="720"/>
        <w:jc w:val="both"/>
      </w:pPr>
    </w:p>
    <w:p w14:paraId="31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2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3000000">
      <w:pPr>
        <w:widowControl w:val="0"/>
        <w:tabs>
          <w:tab w:leader="none" w:pos="0" w:val="left"/>
        </w:tabs>
        <w:ind w:firstLine="0" w:left="720"/>
        <w:jc w:val="both"/>
      </w:pPr>
    </w:p>
    <w:p w14:paraId="34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5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6000000">
      <w:pPr>
        <w:widowControl w:val="0"/>
        <w:tabs>
          <w:tab w:leader="none" w:pos="0" w:val="left"/>
        </w:tabs>
        <w:ind w:firstLine="0" w:left="720"/>
        <w:jc w:val="both"/>
      </w:pPr>
    </w:p>
    <w:p w14:paraId="37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8000000">
      <w:pPr>
        <w:widowControl w:val="0"/>
        <w:tabs>
          <w:tab w:leader="none" w:pos="0" w:val="left"/>
        </w:tabs>
        <w:ind w:firstLine="0" w:left="0"/>
        <w:jc w:val="both"/>
        <w:rPr>
          <w:color w:val="000000"/>
          <w:spacing w:val="3"/>
          <w:sz w:val="28"/>
        </w:rPr>
      </w:pPr>
    </w:p>
    <w:p w14:paraId="39000000">
      <w:pPr>
        <w:widowControl w:val="0"/>
        <w:tabs>
          <w:tab w:leader="none" w:pos="0" w:val="left"/>
        </w:tabs>
        <w:ind w:firstLine="0" w:left="0"/>
        <w:jc w:val="both"/>
        <w:rPr>
          <w:color w:val="000000"/>
          <w:spacing w:val="3"/>
          <w:sz w:val="28"/>
        </w:rPr>
      </w:pPr>
    </w:p>
    <w:p w14:paraId="3A000000">
      <w:pPr>
        <w:widowControl w:val="0"/>
        <w:tabs>
          <w:tab w:leader="none" w:pos="0" w:val="left"/>
        </w:tabs>
        <w:ind w:firstLine="0" w:left="720"/>
        <w:jc w:val="both"/>
      </w:pPr>
    </w:p>
    <w:p w14:paraId="3B000000">
      <w:pPr>
        <w:widowControl w:val="0"/>
        <w:tabs>
          <w:tab w:leader="none" w:pos="0" w:val="left"/>
        </w:tabs>
        <w:ind w:firstLine="0" w:left="720"/>
        <w:jc w:val="both"/>
        <w:rPr>
          <w:color w:val="000000"/>
          <w:spacing w:val="3"/>
          <w:sz w:val="28"/>
        </w:rPr>
      </w:pPr>
    </w:p>
    <w:p w14:paraId="3C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УТВЕРЖДЕНО</w:t>
      </w:r>
    </w:p>
    <w:p w14:paraId="3D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постановлени</w:t>
      </w:r>
      <w:r>
        <w:rPr>
          <w:sz w:val="20"/>
        </w:rPr>
        <w:t>ем</w:t>
      </w:r>
      <w:r>
        <w:rPr>
          <w:sz w:val="20"/>
        </w:rPr>
        <w:t xml:space="preserve"> </w:t>
      </w:r>
      <w:r>
        <w:rPr>
          <w:sz w:val="20"/>
        </w:rPr>
        <w:t>Т</w:t>
      </w:r>
      <w:r>
        <w:rPr>
          <w:sz w:val="20"/>
        </w:rPr>
        <w:t>ерриториальной</w:t>
      </w:r>
    </w:p>
    <w:p w14:paraId="3E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избирательной  комиссии</w:t>
      </w:r>
    </w:p>
    <w:p w14:paraId="3F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 xml:space="preserve">города Таганрога (западная) </w:t>
      </w:r>
      <w:r>
        <w:rPr>
          <w:sz w:val="20"/>
        </w:rPr>
        <w:br/>
      </w:r>
      <w:r>
        <w:rPr>
          <w:sz w:val="20"/>
        </w:rPr>
        <w:t>Ростовской области</w:t>
      </w:r>
    </w:p>
    <w:p w14:paraId="40000000">
      <w:pPr>
        <w:widowControl w:val="1"/>
        <w:ind w:left="5664"/>
        <w:jc w:val="center"/>
        <w:rPr>
          <w:sz w:val="20"/>
        </w:rPr>
      </w:pPr>
      <w:r>
        <w:rPr>
          <w:sz w:val="20"/>
        </w:rPr>
        <w:t>от 03</w:t>
      </w:r>
      <w:r>
        <w:rPr>
          <w:sz w:val="20"/>
        </w:rPr>
        <w:t>.09</w:t>
      </w:r>
      <w:r>
        <w:rPr>
          <w:sz w:val="20"/>
        </w:rPr>
        <w:t>.</w:t>
      </w:r>
      <w:r>
        <w:rPr>
          <w:sz w:val="20"/>
        </w:rPr>
        <w:t>2026г</w:t>
      </w:r>
      <w:r>
        <w:rPr>
          <w:sz w:val="20"/>
        </w:rPr>
        <w:t xml:space="preserve"> </w:t>
      </w:r>
      <w:r>
        <w:rPr>
          <w:sz w:val="20"/>
        </w:rPr>
        <w:t xml:space="preserve">№ </w:t>
      </w:r>
      <w:r>
        <w:rPr>
          <w:sz w:val="20"/>
        </w:rPr>
        <w:t>13-1</w:t>
      </w:r>
    </w:p>
    <w:p w14:paraId="41000000">
      <w:pPr>
        <w:widowControl w:val="1"/>
        <w:ind/>
        <w:jc w:val="center"/>
      </w:pPr>
    </w:p>
    <w:p w14:paraId="42000000">
      <w:pPr>
        <w:widowControl w:val="1"/>
        <w:ind/>
        <w:jc w:val="center"/>
      </w:pPr>
      <w:r>
        <w:t xml:space="preserve">Количество </w:t>
      </w:r>
    </w:p>
    <w:p w14:paraId="43000000">
      <w:pPr>
        <w:widowControl w:val="1"/>
        <w:ind/>
        <w:jc w:val="center"/>
      </w:pPr>
      <w:r>
        <w:t xml:space="preserve">переносных ящиков для голосования вне помещения для голосования, используемых на избирательных участках в день голосования на выборах </w:t>
      </w:r>
    </w:p>
    <w:p w14:paraId="44000000">
      <w:pPr>
        <w:widowControl w:val="1"/>
        <w:ind/>
        <w:jc w:val="center"/>
        <w:rPr>
          <w:b w:val="0"/>
        </w:rPr>
      </w:pPr>
      <w:r>
        <w:rPr>
          <w:rFonts w:ascii="Times New Roman" w:hAnsi="Times New Roman"/>
          <w:b w:val="0"/>
          <w:sz w:val="28"/>
        </w:rPr>
        <w:t xml:space="preserve"> депутатов Государственной Думы Федерального Собрания Российской Федерации девятого созыва</w:t>
      </w:r>
    </w:p>
    <w:p w14:paraId="45000000">
      <w:pPr>
        <w:widowControl w:val="1"/>
        <w:ind/>
        <w:jc w:val="center"/>
      </w:pPr>
    </w:p>
    <w:tbl>
      <w:tblPr>
        <w:tblStyle w:val="Style_1"/>
        <w:tblW w:type="auto" w:w="0"/>
        <w:tblInd w:type="dxa" w:w="0"/>
        <w:tblBorders>
          <w:top w:color="000000" w:sz="4" w:val="single"/>
          <w:left w:color="000000" w:sz="4" w:val="single"/>
          <w:bottom w:color="000000" w:sz="4" w:val="single"/>
          <w:right w:color="000000" w:sz="4" w:val="single"/>
          <w:insideH w:color="000000" w:sz="4" w:val="single"/>
          <w:insideV w:color="000000" w:sz="4" w:val="single"/>
        </w:tblBorders>
        <w:tblLayout w:type="fixed"/>
        <w:tblCellMar>
          <w:top w:type="dxa" w:w="0"/>
          <w:left w:type="dxa" w:w="108"/>
          <w:bottom w:type="dxa" w:w="0"/>
          <w:right w:type="dxa" w:w="108"/>
        </w:tblCellMar>
      </w:tblPr>
      <w:tblGrid>
        <w:gridCol w:w="675"/>
        <w:gridCol w:w="5159"/>
        <w:gridCol w:w="1995"/>
        <w:gridCol w:w="1470"/>
      </w:tblGrid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6000000">
            <w:pPr>
              <w:widowControl w:val="1"/>
              <w:spacing w:after="0" w:line="240" w:lineRule="auto"/>
              <w:ind/>
              <w:jc w:val="center"/>
            </w:pPr>
            <w:r>
              <w:t xml:space="preserve">№ </w:t>
            </w:r>
            <w:r>
              <w:t>п</w:t>
            </w:r>
            <w:r>
              <w:t>/п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47000000">
            <w:pPr>
              <w:widowControl w:val="1"/>
              <w:spacing w:after="0" w:line="240" w:lineRule="auto"/>
              <w:ind/>
              <w:jc w:val="center"/>
            </w:pPr>
            <w:r>
              <w:t>Номер участка для голосования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48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Численность избирателей на избирательном участке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49000000">
            <w:pPr>
              <w:widowControl w:val="0"/>
              <w:spacing w:after="0" w:line="240" w:lineRule="auto"/>
              <w:ind w:firstLine="0" w:left="0"/>
              <w:jc w:val="center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Количество переносных ящиков 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4A000000">
            <w:pPr>
              <w:widowControl w:val="0"/>
              <w:tabs>
                <w:tab w:leader="none" w:pos="0" w:val="left"/>
              </w:tabs>
              <w:ind w:firstLine="0" w:left="0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4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4C000000">
            <w:pPr>
              <w:widowControl w:val="0"/>
              <w:ind w:firstLine="142" w:left="0"/>
              <w:jc w:val="center"/>
            </w:pPr>
            <w:r>
              <w:t>1372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4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4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4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0000000">
            <w:pPr>
              <w:widowControl w:val="0"/>
              <w:ind w:firstLine="142" w:left="0"/>
              <w:jc w:val="center"/>
            </w:pPr>
            <w:r>
              <w:t>2133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4000000">
            <w:pPr>
              <w:widowControl w:val="0"/>
              <w:ind w:firstLine="142" w:left="0"/>
              <w:jc w:val="center"/>
            </w:pPr>
            <w:r>
              <w:t>1440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8000000">
            <w:pPr>
              <w:widowControl w:val="0"/>
              <w:ind w:firstLine="142" w:left="0"/>
              <w:jc w:val="center"/>
            </w:pPr>
            <w:r>
              <w:t>2441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2219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5C000000">
            <w:pPr>
              <w:widowControl w:val="0"/>
              <w:ind w:firstLine="142" w:left="0"/>
              <w:jc w:val="center"/>
            </w:pPr>
            <w:r>
              <w:t>2090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5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0000000">
            <w:pPr>
              <w:widowControl w:val="0"/>
              <w:ind w:firstLine="142" w:left="0"/>
              <w:jc w:val="center"/>
            </w:pPr>
            <w:r>
              <w:t>1568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4000000">
            <w:pPr>
              <w:widowControl w:val="0"/>
              <w:ind w:firstLine="142" w:left="0"/>
              <w:jc w:val="center"/>
            </w:pPr>
            <w:r>
              <w:t>1050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8000000">
            <w:pPr>
              <w:widowControl w:val="0"/>
              <w:ind w:firstLine="142" w:left="0"/>
              <w:jc w:val="center"/>
            </w:pPr>
            <w:r>
              <w:t>1778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6C000000">
            <w:pPr>
              <w:widowControl w:val="0"/>
              <w:ind w:firstLine="142" w:left="0"/>
              <w:jc w:val="center"/>
            </w:pPr>
            <w:r>
              <w:t>2272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6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 № </w:t>
            </w:r>
            <w:r>
              <w:rPr>
                <w:sz w:val="22"/>
              </w:rPr>
              <w:t>2224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0000000">
            <w:pPr>
              <w:widowControl w:val="0"/>
              <w:ind w:firstLine="142" w:left="0"/>
              <w:jc w:val="center"/>
            </w:pPr>
            <w:r>
              <w:t>2305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4000000">
            <w:pPr>
              <w:widowControl w:val="0"/>
              <w:ind w:firstLine="142" w:left="0"/>
              <w:jc w:val="center"/>
            </w:pPr>
            <w:r>
              <w:t>1858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8000000">
            <w:pPr>
              <w:widowControl w:val="0"/>
              <w:ind w:firstLine="142" w:left="0"/>
              <w:jc w:val="center"/>
            </w:pPr>
            <w:r>
              <w:t>1428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7C000000">
            <w:pPr>
              <w:widowControl w:val="0"/>
              <w:ind w:firstLine="142" w:left="0"/>
              <w:jc w:val="center"/>
            </w:pPr>
            <w:r>
              <w:t>1517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7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0000000">
            <w:pPr>
              <w:widowControl w:val="0"/>
              <w:ind w:firstLine="142" w:left="0"/>
              <w:jc w:val="center"/>
            </w:pPr>
            <w:r>
              <w:t>2060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2229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4000000">
            <w:pPr>
              <w:widowControl w:val="0"/>
              <w:ind w:firstLine="142" w:left="0"/>
              <w:jc w:val="center"/>
            </w:pPr>
            <w:r>
              <w:t>1824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8000000">
            <w:pPr>
              <w:widowControl w:val="0"/>
              <w:ind w:firstLine="142" w:left="0"/>
              <w:jc w:val="center"/>
            </w:pPr>
            <w:r>
              <w:t>1227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8C000000">
            <w:pPr>
              <w:widowControl w:val="0"/>
              <w:ind w:firstLine="142" w:left="0"/>
              <w:jc w:val="center"/>
            </w:pPr>
            <w:r>
              <w:t>1442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8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0000000">
            <w:pPr>
              <w:widowControl w:val="0"/>
              <w:ind w:firstLine="142" w:left="0"/>
              <w:jc w:val="center"/>
            </w:pPr>
            <w:r>
              <w:t>1832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19.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4000000">
            <w:pPr>
              <w:widowControl w:val="0"/>
              <w:ind w:firstLine="142" w:left="0"/>
              <w:jc w:val="center"/>
            </w:pPr>
            <w:r>
              <w:t>1404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8000000">
            <w:pPr>
              <w:widowControl w:val="0"/>
              <w:ind w:firstLine="142" w:left="0"/>
              <w:jc w:val="center"/>
            </w:pPr>
            <w:r>
              <w:t>1873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9C000000">
            <w:pPr>
              <w:widowControl w:val="0"/>
              <w:ind w:firstLine="142" w:left="0"/>
              <w:jc w:val="center"/>
            </w:pPr>
            <w:r>
              <w:t>2236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9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0000000">
            <w:pPr>
              <w:widowControl w:val="0"/>
              <w:ind w:firstLine="142" w:left="0"/>
              <w:jc w:val="center"/>
            </w:pPr>
            <w:r>
              <w:t>1337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4000000">
            <w:pPr>
              <w:widowControl w:val="0"/>
              <w:ind w:firstLine="142" w:left="0"/>
              <w:jc w:val="center"/>
            </w:pPr>
            <w:r>
              <w:t>1888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8000000">
            <w:pPr>
              <w:widowControl w:val="0"/>
              <w:ind w:firstLine="142" w:left="0"/>
              <w:jc w:val="center"/>
            </w:pPr>
            <w:r>
              <w:t>2995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2239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AC000000">
            <w:pPr>
              <w:widowControl w:val="0"/>
              <w:ind w:firstLine="142" w:left="0"/>
              <w:jc w:val="center"/>
            </w:pPr>
            <w:r>
              <w:t>3001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A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0000000">
            <w:pPr>
              <w:widowControl w:val="0"/>
              <w:ind w:firstLine="142" w:left="0"/>
              <w:jc w:val="center"/>
            </w:pPr>
            <w:r>
              <w:t>2185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4000000">
            <w:pPr>
              <w:widowControl w:val="0"/>
              <w:ind w:firstLine="142" w:left="0"/>
              <w:jc w:val="center"/>
            </w:pPr>
            <w:r>
              <w:t>2455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8000000">
            <w:pPr>
              <w:widowControl w:val="0"/>
              <w:ind w:firstLine="142" w:left="0"/>
              <w:jc w:val="center"/>
            </w:pPr>
            <w:r>
              <w:t>2156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29.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BC000000">
            <w:pPr>
              <w:widowControl w:val="0"/>
              <w:ind w:firstLine="142" w:left="0"/>
              <w:jc w:val="center"/>
            </w:pPr>
            <w:r>
              <w:t>3341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B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0000000">
            <w:pPr>
              <w:widowControl w:val="0"/>
              <w:ind w:firstLine="142" w:left="0"/>
              <w:jc w:val="center"/>
            </w:pPr>
            <w:r>
              <w:t>2917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4000000">
            <w:pPr>
              <w:widowControl w:val="0"/>
              <w:ind w:firstLine="142" w:left="0"/>
              <w:jc w:val="center"/>
            </w:pPr>
            <w:r>
              <w:t>2533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8000000">
            <w:pPr>
              <w:widowControl w:val="0"/>
              <w:ind w:firstLine="142" w:left="0"/>
              <w:jc w:val="center"/>
            </w:pPr>
            <w:r>
              <w:t>1960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CC000000">
            <w:pPr>
              <w:widowControl w:val="0"/>
              <w:ind w:firstLine="142" w:left="0"/>
              <w:jc w:val="center"/>
            </w:pPr>
            <w:r>
              <w:t>1395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C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0000000">
            <w:pPr>
              <w:widowControl w:val="0"/>
              <w:ind w:firstLine="142" w:left="0"/>
              <w:jc w:val="center"/>
            </w:pPr>
            <w:r>
              <w:t>1575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2249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4000000">
            <w:pPr>
              <w:widowControl w:val="0"/>
              <w:ind w:firstLine="142" w:left="0"/>
              <w:jc w:val="center"/>
            </w:pPr>
            <w:r>
              <w:t>1487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8000000">
            <w:pPr>
              <w:widowControl w:val="0"/>
              <w:ind w:firstLine="142" w:left="0"/>
              <w:jc w:val="center"/>
            </w:pPr>
            <w:r>
              <w:t>994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DC000000">
            <w:pPr>
              <w:widowControl w:val="0"/>
              <w:ind w:firstLine="142" w:left="0"/>
              <w:jc w:val="center"/>
            </w:pPr>
            <w:r>
              <w:t>1331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D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0000000">
            <w:pPr>
              <w:widowControl w:val="0"/>
              <w:ind w:firstLine="142" w:left="0"/>
              <w:jc w:val="center"/>
            </w:pPr>
            <w:r>
              <w:t>1977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39.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4000000">
            <w:pPr>
              <w:widowControl w:val="0"/>
              <w:ind w:firstLine="142" w:left="0"/>
              <w:jc w:val="center"/>
            </w:pPr>
            <w:r>
              <w:t>1647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8000000">
            <w:pPr>
              <w:widowControl w:val="0"/>
              <w:ind w:firstLine="142" w:left="0"/>
              <w:jc w:val="center"/>
            </w:pPr>
            <w:r>
              <w:t>1193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EC000000">
            <w:pPr>
              <w:widowControl w:val="0"/>
              <w:ind w:firstLine="142" w:left="0"/>
              <w:jc w:val="center"/>
            </w:pPr>
            <w:r>
              <w:t>1076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E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0000000">
            <w:pPr>
              <w:widowControl w:val="0"/>
              <w:ind w:firstLine="142" w:left="0"/>
              <w:jc w:val="center"/>
            </w:pPr>
            <w:r>
              <w:t>1350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1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2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3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4000000">
            <w:pPr>
              <w:widowControl w:val="0"/>
              <w:ind w:firstLine="142" w:left="0"/>
              <w:jc w:val="center"/>
            </w:pPr>
            <w:r>
              <w:t>2002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5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6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7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>Участковая избирательная комиссия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 xml:space="preserve"> 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8000000">
            <w:pPr>
              <w:widowControl w:val="0"/>
              <w:ind w:firstLine="142" w:left="0"/>
              <w:jc w:val="center"/>
            </w:pPr>
            <w:r>
              <w:t>1743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9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A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B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2259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FC000000">
            <w:pPr>
              <w:widowControl w:val="0"/>
              <w:ind w:firstLine="142" w:left="0"/>
              <w:jc w:val="center"/>
            </w:pPr>
            <w:r>
              <w:t>1486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D00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E00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FF00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0010000">
            <w:pPr>
              <w:widowControl w:val="0"/>
              <w:ind w:firstLine="142" w:left="0"/>
              <w:jc w:val="center"/>
            </w:pPr>
            <w:r>
              <w:t>1453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1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2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3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4010000">
            <w:pPr>
              <w:widowControl w:val="0"/>
              <w:ind w:firstLine="142" w:left="0"/>
              <w:jc w:val="center"/>
            </w:pPr>
            <w:r>
              <w:t>1408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5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6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7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8010000">
            <w:pPr>
              <w:widowControl w:val="0"/>
              <w:ind w:firstLine="142" w:left="0"/>
              <w:jc w:val="center"/>
            </w:pPr>
            <w:r>
              <w:t>1283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9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A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49.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B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2263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0C010000">
            <w:pPr>
              <w:widowControl w:val="0"/>
              <w:ind w:firstLine="142" w:left="0"/>
              <w:jc w:val="center"/>
            </w:pPr>
            <w:r>
              <w:t>1399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D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E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0F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0010000">
            <w:pPr>
              <w:widowControl w:val="0"/>
              <w:ind w:firstLine="142" w:left="0"/>
              <w:jc w:val="center"/>
            </w:pPr>
            <w:r>
              <w:t>1650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1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2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51.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3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2265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4010000">
            <w:pPr>
              <w:widowControl w:val="0"/>
              <w:ind w:firstLine="142" w:left="0"/>
              <w:jc w:val="center"/>
            </w:pPr>
            <w:r>
              <w:t>1529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5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6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52.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7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2266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8010000">
            <w:pPr>
              <w:widowControl w:val="0"/>
              <w:ind w:firstLine="142" w:left="0"/>
              <w:jc w:val="center"/>
            </w:pPr>
            <w:r>
              <w:t>2625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9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A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53.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B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2267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1C010000">
            <w:pPr>
              <w:widowControl w:val="0"/>
              <w:ind w:firstLine="142" w:left="0"/>
              <w:jc w:val="center"/>
            </w:pPr>
            <w:r>
              <w:t>1043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D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E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54.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1F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2268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0010000">
            <w:pPr>
              <w:widowControl w:val="0"/>
              <w:ind w:firstLine="142" w:left="0"/>
              <w:jc w:val="center"/>
            </w:pPr>
            <w:r>
              <w:t>1393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1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2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55.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3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2269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4010000">
            <w:pPr>
              <w:widowControl w:val="0"/>
              <w:ind w:firstLine="142" w:left="0"/>
              <w:jc w:val="center"/>
            </w:pPr>
            <w:r>
              <w:t>1200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5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6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56.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7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2270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8010000">
            <w:pPr>
              <w:widowControl w:val="0"/>
              <w:ind w:firstLine="142" w:left="0"/>
              <w:jc w:val="center"/>
            </w:pPr>
            <w:r>
              <w:t>1657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9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rPr>
          <w:trHeight w:hRule="atLeast" w:val="241"/>
        </w:trP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A010000">
            <w:pPr>
              <w:widowControl w:val="0"/>
              <w:tabs>
                <w:tab w:leader="none" w:pos="0" w:val="left"/>
              </w:tabs>
              <w:ind w:firstLine="0" w:left="0"/>
              <w:contextualSpacing w:val="1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57.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B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2271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2C010000">
            <w:pPr>
              <w:widowControl w:val="0"/>
              <w:ind w:firstLine="142" w:left="0"/>
              <w:jc w:val="center"/>
            </w:pPr>
            <w:r>
              <w:t>2181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D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E010000">
            <w:pPr>
              <w:widowControl w:val="0"/>
              <w:ind w:firstLine="0" w:left="0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58.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2F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2</w:t>
            </w:r>
            <w:r>
              <w:rPr>
                <w:sz w:val="22"/>
              </w:rPr>
              <w:t>272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30010000">
            <w:pPr>
              <w:widowControl w:val="0"/>
              <w:ind w:firstLine="142" w:left="0"/>
              <w:jc w:val="center"/>
            </w:pPr>
            <w:r>
              <w:t>1729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1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2010000">
            <w:pPr>
              <w:widowControl w:val="0"/>
              <w:tabs>
                <w:tab w:leader="none" w:pos="0" w:val="left"/>
              </w:tabs>
              <w:ind w:firstLine="0" w:left="0"/>
              <w:jc w:val="center"/>
              <w:rPr>
                <w:color w:val="000000"/>
                <w:spacing w:val="3"/>
                <w:sz w:val="20"/>
              </w:rPr>
            </w:pPr>
            <w:r>
              <w:rPr>
                <w:color w:val="000000"/>
                <w:spacing w:val="3"/>
                <w:sz w:val="20"/>
              </w:rPr>
              <w:t>59.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3010000">
            <w:pPr>
              <w:widowControl w:val="1"/>
              <w:tabs>
                <w:tab w:leader="none" w:pos="4677" w:val="clear"/>
                <w:tab w:leader="none" w:pos="9355" w:val="clear"/>
              </w:tabs>
              <w:ind w:firstLine="142" w:left="0"/>
              <w:rPr>
                <w:sz w:val="22"/>
              </w:rPr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2</w:t>
            </w:r>
            <w:r>
              <w:rPr>
                <w:sz w:val="22"/>
              </w:rPr>
              <w:t>2</w:t>
            </w:r>
            <w:r>
              <w:rPr>
                <w:sz w:val="22"/>
              </w:rPr>
              <w:t>94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34010000">
            <w:pPr>
              <w:widowControl w:val="0"/>
              <w:ind w:firstLine="142" w:left="0"/>
              <w:jc w:val="center"/>
            </w:pPr>
            <w:r>
              <w:t>3003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5010000">
            <w:pPr>
              <w:widowControl w:val="0"/>
              <w:tabs>
                <w:tab w:leader="none" w:pos="0" w:val="left"/>
              </w:tabs>
              <w:ind w:firstLine="142" w:left="0"/>
              <w:jc w:val="center"/>
              <w:rPr>
                <w:color w:val="000000"/>
                <w:spacing w:val="3"/>
                <w:sz w:val="22"/>
              </w:rPr>
            </w:pPr>
            <w:r>
              <w:rPr>
                <w:color w:val="000000"/>
                <w:spacing w:val="3"/>
                <w:sz w:val="22"/>
              </w:rPr>
              <w:t>3</w:t>
            </w:r>
          </w:p>
        </w:tc>
      </w:tr>
      <w:tr>
        <w:tc>
          <w:tcPr>
            <w:tcW w:type="dxa" w:w="67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6010000">
            <w:pPr>
              <w:widowControl w:val="0"/>
              <w:ind w:firstLine="283" w:left="0"/>
              <w:rPr>
                <w:sz w:val="20"/>
              </w:rPr>
            </w:pPr>
            <w:r>
              <w:rPr>
                <w:sz w:val="20"/>
              </w:rPr>
              <w:t>60.</w:t>
            </w:r>
          </w:p>
        </w:tc>
        <w:tc>
          <w:tcPr>
            <w:tcW w:type="dxa" w:w="5159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7010000">
            <w:pPr>
              <w:widowControl w:val="0"/>
              <w:ind w:firstLine="142" w:left="0"/>
            </w:pPr>
            <w:r>
              <w:rPr>
                <w:sz w:val="22"/>
              </w:rPr>
              <w:t xml:space="preserve">Участковая избирательная комиссия </w:t>
            </w:r>
            <w:r>
              <w:rPr>
                <w:sz w:val="22"/>
              </w:rPr>
              <w:t xml:space="preserve"> </w:t>
            </w:r>
            <w:r>
              <w:rPr>
                <w:sz w:val="22"/>
              </w:rPr>
              <w:t>№</w:t>
            </w:r>
            <w:r>
              <w:rPr>
                <w:sz w:val="22"/>
              </w:rPr>
              <w:t xml:space="preserve"> 2622</w:t>
            </w:r>
          </w:p>
        </w:tc>
        <w:tc>
          <w:tcPr>
            <w:tcW w:type="dxa" w:w="1995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  <w:vAlign w:val="center"/>
          </w:tcPr>
          <w:p w14:paraId="38010000">
            <w:pPr>
              <w:widowControl w:val="0"/>
              <w:ind w:firstLine="142" w:left="0"/>
              <w:jc w:val="center"/>
              <w:rPr>
                <w:sz w:val="24"/>
              </w:rPr>
            </w:pPr>
            <w:r>
              <w:rPr>
                <w:sz w:val="24"/>
              </w:rPr>
              <w:t>500</w:t>
            </w:r>
          </w:p>
        </w:tc>
        <w:tc>
          <w:tcPr>
            <w:tcW w:type="dxa" w:w="1470"/>
            <w:tcBorders>
              <w:top w:color="000000" w:sz="6" w:val="single"/>
              <w:left w:color="000000" w:sz="6" w:val="single"/>
              <w:bottom w:color="000000" w:sz="6" w:val="single"/>
              <w:right w:color="000000" w:sz="6" w:val="single"/>
            </w:tcBorders>
            <w:shd w:fill="FFFFFF" w:val="clear"/>
            <w:tcMar>
              <w:top w:type="dxa" w:w="0"/>
              <w:left w:type="dxa" w:w="40"/>
              <w:bottom w:type="dxa" w:w="0"/>
              <w:right w:type="dxa" w:w="40"/>
            </w:tcMar>
          </w:tcPr>
          <w:p w14:paraId="39010000">
            <w:pPr>
              <w:widowControl w:val="0"/>
              <w:ind w:firstLine="142" w:left="0"/>
              <w:jc w:val="center"/>
            </w:pPr>
            <w:r>
              <w:t>2</w:t>
            </w:r>
          </w:p>
        </w:tc>
      </w:tr>
      <w:tr>
        <w:trPr>
          <w:trHeight w:hRule="atLeast" w:val="285"/>
        </w:trPr>
        <w:tc>
          <w:tcPr>
            <w:tcW w:type="dxa" w:w="67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A010000">
            <w:pPr>
              <w:widowControl w:val="1"/>
              <w:spacing w:after="0" w:line="240" w:lineRule="auto"/>
              <w:ind/>
              <w:jc w:val="center"/>
            </w:pPr>
          </w:p>
        </w:tc>
        <w:tc>
          <w:tcPr>
            <w:tcW w:type="dxa" w:w="5159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 w14:paraId="3B010000">
            <w:pPr>
              <w:widowControl w:val="1"/>
              <w:ind/>
              <w:jc w:val="right"/>
            </w:pPr>
            <w:r>
              <w:t>ИТОГО</w:t>
            </w:r>
          </w:p>
        </w:tc>
        <w:tc>
          <w:tcPr>
            <w:tcW w:type="dxa" w:w="1995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  <w:vAlign w:val="bottom"/>
          </w:tcPr>
          <w:p/>
        </w:tc>
        <w:tc>
          <w:tcPr>
            <w:tcW w:type="dxa" w:w="1470"/>
            <w:tcBorders>
              <w:top w:color="000000" w:sz="4" w:val="single"/>
              <w:left w:color="000000" w:sz="4" w:val="single"/>
              <w:bottom w:color="000000" w:sz="4" w:val="single"/>
              <w:right w:color="000000" w:sz="4" w:val="single"/>
            </w:tcBorders>
            <w:tcMar>
              <w:top w:type="dxa" w:w="0"/>
              <w:left w:type="dxa" w:w="108"/>
              <w:bottom w:type="dxa" w:w="0"/>
              <w:right w:type="dxa" w:w="108"/>
            </w:tcMar>
          </w:tcPr>
          <w:p w14:paraId="3C010000">
            <w:pPr>
              <w:widowControl w:val="1"/>
              <w:ind/>
              <w:jc w:val="center"/>
            </w:pPr>
            <w:r>
              <w:t>179</w:t>
            </w:r>
          </w:p>
        </w:tc>
      </w:tr>
    </w:tbl>
    <w:p w14:paraId="3D010000"/>
    <w:p w14:paraId="3E010000"/>
    <w:p w14:paraId="3F010000"/>
    <w:p w14:paraId="40010000"/>
    <w:p w14:paraId="41010000">
      <w:pPr>
        <w:rPr>
          <w:sz w:val="28"/>
        </w:rPr>
      </w:pPr>
      <w:r>
        <w:rPr>
          <w:sz w:val="28"/>
        </w:rPr>
        <w:t>Секретарь комиссии                                                                  Н.В.Мельникова</w:t>
      </w:r>
    </w:p>
    <w:p w14:paraId="42010000"/>
    <w:p w14:paraId="43010000"/>
    <w:p w14:paraId="44010000"/>
    <w:p w14:paraId="45010000"/>
    <w:p w14:paraId="46010000"/>
    <w:p w14:paraId="47010000"/>
    <w:p w14:paraId="48010000"/>
    <w:p w14:paraId="49010000"/>
    <w:p w14:paraId="4A010000"/>
    <w:p w14:paraId="4B010000"/>
    <w:p w14:paraId="4C010000"/>
    <w:p w14:paraId="4D010000"/>
    <w:p w14:paraId="4E010000"/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2" w:type="paragraph">
    <w:name w:val="Normal"/>
    <w:link w:val="Style_2_ch"/>
    <w:uiPriority w:val="0"/>
    <w:qFormat/>
    <w:pPr>
      <w:widowControl w:val="0"/>
      <w:spacing w:after="0" w:line="240" w:lineRule="auto"/>
      <w:ind/>
    </w:pPr>
    <w:rPr>
      <w:rFonts w:ascii="Times New Roman" w:hAnsi="Times New Roman"/>
      <w:sz w:val="24"/>
    </w:rPr>
  </w:style>
  <w:style w:default="1" w:styleId="Style_2_ch" w:type="character">
    <w:name w:val="Normal"/>
    <w:link w:val="Style_2"/>
    <w:rPr>
      <w:rFonts w:ascii="Times New Roman" w:hAnsi="Times New Roman"/>
      <w:sz w:val="24"/>
    </w:rPr>
  </w:style>
  <w:style w:styleId="Style_3" w:type="paragraph">
    <w:name w:val="toc 2"/>
    <w:next w:val="Style_2"/>
    <w:link w:val="Style_3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3_ch" w:type="character">
    <w:name w:val="toc 2"/>
    <w:link w:val="Style_3"/>
    <w:rPr>
      <w:rFonts w:ascii="XO Thames" w:hAnsi="XO Thames"/>
      <w:sz w:val="28"/>
    </w:rPr>
  </w:style>
  <w:style w:styleId="Style_4" w:type="paragraph">
    <w:name w:val="toc 4"/>
    <w:next w:val="Style_2"/>
    <w:link w:val="Style_4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4_ch" w:type="character">
    <w:name w:val="toc 4"/>
    <w:link w:val="Style_4"/>
    <w:rPr>
      <w:rFonts w:ascii="XO Thames" w:hAnsi="XO Thames"/>
      <w:sz w:val="28"/>
    </w:rPr>
  </w:style>
  <w:style w:styleId="Style_5" w:type="paragraph">
    <w:name w:val="header"/>
    <w:basedOn w:val="Style_2"/>
    <w:link w:val="Style_5_ch"/>
    <w:pPr>
      <w:widowControl w:val="0"/>
      <w:tabs>
        <w:tab w:leader="none" w:pos="4677" w:val="center"/>
        <w:tab w:leader="none" w:pos="9355" w:val="right"/>
      </w:tabs>
      <w:ind/>
    </w:pPr>
    <w:rPr>
      <w:sz w:val="20"/>
    </w:rPr>
  </w:style>
  <w:style w:styleId="Style_5_ch" w:type="character">
    <w:name w:val="header"/>
    <w:basedOn w:val="Style_2_ch"/>
    <w:link w:val="Style_5"/>
    <w:rPr>
      <w:sz w:val="20"/>
    </w:rPr>
  </w:style>
  <w:style w:styleId="Style_6" w:type="paragraph">
    <w:name w:val="toc 6"/>
    <w:next w:val="Style_2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2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Endnote"/>
    <w:link w:val="Style_8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8_ch" w:type="character">
    <w:name w:val="Endnote"/>
    <w:link w:val="Style_8"/>
    <w:rPr>
      <w:rFonts w:ascii="XO Thames" w:hAnsi="XO Thames"/>
      <w:sz w:val="22"/>
    </w:rPr>
  </w:style>
  <w:style w:styleId="Style_9" w:type="paragraph">
    <w:name w:val="heading 3"/>
    <w:next w:val="Style_2"/>
    <w:link w:val="Style_9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9_ch" w:type="character">
    <w:name w:val="heading 3"/>
    <w:link w:val="Style_9"/>
    <w:rPr>
      <w:rFonts w:ascii="XO Thames" w:hAnsi="XO Thames"/>
      <w:b w:val="1"/>
      <w:sz w:val="26"/>
    </w:rPr>
  </w:style>
  <w:style w:styleId="Style_10" w:type="paragraph">
    <w:name w:val="Default Paragraph Font"/>
    <w:link w:val="Style_10_ch"/>
  </w:style>
  <w:style w:styleId="Style_10_ch" w:type="character">
    <w:name w:val="Default Paragraph Font"/>
    <w:link w:val="Style_10"/>
  </w:style>
  <w:style w:styleId="Style_11" w:type="paragraph">
    <w:name w:val="toc 3"/>
    <w:next w:val="Style_2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Balloon Text"/>
    <w:basedOn w:val="Style_2"/>
    <w:link w:val="Style_12_ch"/>
    <w:rPr>
      <w:rFonts w:ascii="Tahoma" w:hAnsi="Tahoma"/>
      <w:sz w:val="16"/>
    </w:rPr>
  </w:style>
  <w:style w:styleId="Style_12_ch" w:type="character">
    <w:name w:val="Balloon Text"/>
    <w:basedOn w:val="Style_2_ch"/>
    <w:link w:val="Style_12"/>
    <w:rPr>
      <w:rFonts w:ascii="Tahoma" w:hAnsi="Tahoma"/>
      <w:sz w:val="16"/>
    </w:rPr>
  </w:style>
  <w:style w:styleId="Style_13" w:type="paragraph">
    <w:name w:val="heading 5"/>
    <w:next w:val="Style_2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2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No Spacing"/>
    <w:link w:val="Style_15_ch"/>
    <w:pPr>
      <w:widowControl w:val="0"/>
      <w:spacing w:after="0" w:line="240" w:lineRule="auto"/>
      <w:ind w:firstLine="567" w:left="0"/>
      <w:jc w:val="both"/>
    </w:pPr>
    <w:rPr>
      <w:rFonts w:ascii="Calibri" w:hAnsi="Calibri"/>
    </w:rPr>
  </w:style>
  <w:style w:styleId="Style_15_ch" w:type="character">
    <w:name w:val="No Spacing"/>
    <w:link w:val="Style_15"/>
    <w:rPr>
      <w:rFonts w:ascii="Calibri" w:hAnsi="Calibri"/>
    </w:rPr>
  </w:style>
  <w:style w:styleId="Style_16" w:type="paragraph">
    <w:name w:val="Hyperlink"/>
    <w:link w:val="Style_16_ch"/>
    <w:rPr>
      <w:color w:val="0000FF"/>
      <w:u w:val="single"/>
    </w:rPr>
  </w:style>
  <w:style w:styleId="Style_16_ch" w:type="character">
    <w:name w:val="Hyperlink"/>
    <w:link w:val="Style_16"/>
    <w:rPr>
      <w:color w:val="0000FF"/>
      <w:u w:val="single"/>
    </w:rPr>
  </w:style>
  <w:style w:styleId="Style_17" w:type="paragraph">
    <w:name w:val="Footnote"/>
    <w:link w:val="Style_17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7_ch" w:type="character">
    <w:name w:val="Footnote"/>
    <w:link w:val="Style_17"/>
    <w:rPr>
      <w:rFonts w:ascii="XO Thames" w:hAnsi="XO Thames"/>
      <w:sz w:val="22"/>
    </w:rPr>
  </w:style>
  <w:style w:styleId="Style_18" w:type="paragraph">
    <w:name w:val="toc 1"/>
    <w:next w:val="Style_2"/>
    <w:link w:val="Style_18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8_ch" w:type="character">
    <w:name w:val="toc 1"/>
    <w:link w:val="Style_18"/>
    <w:rPr>
      <w:rFonts w:ascii="XO Thames" w:hAnsi="XO Thames"/>
      <w:b w:val="1"/>
      <w:sz w:val="28"/>
    </w:rPr>
  </w:style>
  <w:style w:styleId="Style_19" w:type="paragraph">
    <w:name w:val="Header and Footer"/>
    <w:link w:val="Style_19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9_ch" w:type="character">
    <w:name w:val="Header and Footer"/>
    <w:link w:val="Style_19"/>
    <w:rPr>
      <w:rFonts w:ascii="XO Thames" w:hAnsi="XO Thames"/>
      <w:sz w:val="28"/>
    </w:rPr>
  </w:style>
  <w:style w:styleId="Style_20" w:type="paragraph">
    <w:name w:val="toc 9"/>
    <w:next w:val="Style_2"/>
    <w:link w:val="Style_20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20_ch" w:type="character">
    <w:name w:val="toc 9"/>
    <w:link w:val="Style_20"/>
    <w:rPr>
      <w:rFonts w:ascii="XO Thames" w:hAnsi="XO Thames"/>
      <w:sz w:val="28"/>
    </w:rPr>
  </w:style>
  <w:style w:styleId="Style_21" w:type="paragraph">
    <w:name w:val="toc 8"/>
    <w:next w:val="Style_2"/>
    <w:link w:val="Style_21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1_ch" w:type="character">
    <w:name w:val="toc 8"/>
    <w:link w:val="Style_21"/>
    <w:rPr>
      <w:rFonts w:ascii="XO Thames" w:hAnsi="XO Thames"/>
      <w:sz w:val="28"/>
    </w:rPr>
  </w:style>
  <w:style w:styleId="Style_22" w:type="paragraph">
    <w:name w:val="toc 5"/>
    <w:next w:val="Style_2"/>
    <w:link w:val="Style_22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2_ch" w:type="character">
    <w:name w:val="toc 5"/>
    <w:link w:val="Style_22"/>
    <w:rPr>
      <w:rFonts w:ascii="XO Thames" w:hAnsi="XO Thames"/>
      <w:sz w:val="28"/>
    </w:rPr>
  </w:style>
  <w:style w:styleId="Style_23" w:type="paragraph">
    <w:name w:val="List Paragraph"/>
    <w:basedOn w:val="Style_2"/>
    <w:link w:val="Style_23_ch"/>
    <w:pPr>
      <w:widowControl w:val="0"/>
      <w:ind w:firstLine="0" w:left="720"/>
      <w:contextualSpacing w:val="1"/>
    </w:pPr>
  </w:style>
  <w:style w:styleId="Style_23_ch" w:type="character">
    <w:name w:val="List Paragraph"/>
    <w:basedOn w:val="Style_2_ch"/>
    <w:link w:val="Style_23"/>
  </w:style>
  <w:style w:styleId="Style_24" w:type="paragraph">
    <w:name w:val="Subtitle"/>
    <w:next w:val="Style_2"/>
    <w:link w:val="Style_24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4_ch" w:type="character">
    <w:name w:val="Subtitle"/>
    <w:link w:val="Style_24"/>
    <w:rPr>
      <w:rFonts w:ascii="XO Thames" w:hAnsi="XO Thames"/>
      <w:i w:val="1"/>
      <w:sz w:val="24"/>
    </w:rPr>
  </w:style>
  <w:style w:styleId="Style_25" w:type="paragraph">
    <w:name w:val="Title"/>
    <w:next w:val="Style_2"/>
    <w:link w:val="Style_25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5_ch" w:type="character">
    <w:name w:val="Title"/>
    <w:link w:val="Style_25"/>
    <w:rPr>
      <w:rFonts w:ascii="XO Thames" w:hAnsi="XO Thames"/>
      <w:b w:val="1"/>
      <w:caps w:val="1"/>
      <w:sz w:val="40"/>
    </w:rPr>
  </w:style>
  <w:style w:styleId="Style_26" w:type="paragraph">
    <w:name w:val="heading 4"/>
    <w:next w:val="Style_2"/>
    <w:link w:val="Style_26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6_ch" w:type="character">
    <w:name w:val="heading 4"/>
    <w:link w:val="Style_26"/>
    <w:rPr>
      <w:rFonts w:ascii="XO Thames" w:hAnsi="XO Thames"/>
      <w:b w:val="1"/>
      <w:sz w:val="24"/>
    </w:rPr>
  </w:style>
  <w:style w:styleId="Style_27" w:type="paragraph">
    <w:name w:val="heading 2"/>
    <w:next w:val="Style_2"/>
    <w:link w:val="Style_27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7_ch" w:type="character">
    <w:name w:val="heading 2"/>
    <w:link w:val="Style_27"/>
    <w:rPr>
      <w:rFonts w:ascii="XO Thames" w:hAnsi="XO Thames"/>
      <w:b w:val="1"/>
      <w:sz w:val="28"/>
    </w:rPr>
  </w:style>
  <w:style w:default="1" w:styleId="Style_1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4" Target="styles.xml" Type="http://schemas.openxmlformats.org/officeDocument/2006/relationships/styles"/>
  <Relationship Id="rId1" Target="media/1.png" Type="http://schemas.openxmlformats.org/officeDocument/2006/relationships/image"/>
  <Relationship Id="rId7" Target="theme/theme1.xml" Type="http://schemas.openxmlformats.org/officeDocument/2006/relationships/theme"/>
  <Relationship Id="rId5" Target="stylesWithEffects.xml" Type="http://schemas.microsoft.com/office/2007/relationships/stylesWithEffects"/>
  <Relationship Id="rId3" Target="settings.xml" Type="http://schemas.openxmlformats.org/officeDocument/2006/relationships/settings"/>
  <Relationship Id="rId2" Target="fontTable.xml" Type="http://schemas.openxmlformats.org/officeDocument/2006/relationships/fontTable"/>
  <Relationship Id="rId6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MyOffice-CoreFramework-Windows/39-1403.1128.10324.1037.1@e8ff5f727e334356b492384cca4cf28c85978f47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2024-08-21T09:37:16Z</dcterms:created>
  <dcterms:modified xsi:type="dcterms:W3CDTF">2026-09-04T12:34:09Z</dcterms:modified>
</cp:coreProperties>
</file>