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line="360" w:lineRule="auto"/>
        <w:ind/>
        <w:jc w:val="center"/>
      </w:pPr>
      <w:r>
        <w:t xml:space="preserve"> </w:t>
      </w:r>
      <w:r>
        <w:drawing>
          <wp:inline>
            <wp:extent cx="752475" cy="7905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905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 xml:space="preserve">ТЕРРИТОРИАЛЬНАЯ ИЗБИРАТЕЛЬНАЯ КОМИССИЯ </w:t>
      </w:r>
    </w:p>
    <w:p w14:paraId="03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Г. ТАГАНРОГА(ЗАПАДНАЯ) РОСТОВСКОЙ ОБЛАСТИ</w:t>
      </w:r>
    </w:p>
    <w:p w14:paraId="04000000">
      <w:pPr>
        <w:widowControl w:val="0"/>
        <w:ind/>
        <w:jc w:val="center"/>
        <w:rPr>
          <w:b w:val="1"/>
          <w:sz w:val="28"/>
        </w:rPr>
      </w:pPr>
    </w:p>
    <w:p w14:paraId="05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  <w:sz w:val="28"/>
        </w:rPr>
      </w:pPr>
    </w:p>
    <w:p w14:paraId="07000000">
      <w:pPr>
        <w:rPr>
          <w:sz w:val="28"/>
        </w:rPr>
      </w:pPr>
      <w:r>
        <w:rPr>
          <w:sz w:val="28"/>
        </w:rPr>
        <w:t>21 июля 2025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  </w:t>
      </w:r>
      <w:r>
        <w:rPr>
          <w:sz w:val="28"/>
        </w:rPr>
        <w:t xml:space="preserve">№ </w:t>
      </w:r>
      <w:bookmarkStart w:id="1" w:name="_GoBack"/>
      <w:bookmarkEnd w:id="1"/>
      <w:r>
        <w:rPr>
          <w:sz w:val="28"/>
        </w:rPr>
        <w:t>136-2</w:t>
      </w:r>
    </w:p>
    <w:p w14:paraId="08000000">
      <w:pPr>
        <w:widowControl w:val="0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9000000">
      <w:pPr>
        <w:widowControl w:val="0"/>
        <w:ind w:firstLine="0" w:left="1701" w:right="1700"/>
        <w:jc w:val="both"/>
        <w:rPr>
          <w:b w:val="1"/>
          <w:sz w:val="28"/>
        </w:rPr>
      </w:pPr>
      <w:r>
        <w:rPr>
          <w:b w:val="1"/>
          <w:sz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 w:val="1"/>
          <w:sz w:val="28"/>
        </w:rPr>
        <w:t>на выборах Губернатора Ростовской области</w:t>
      </w:r>
    </w:p>
    <w:p w14:paraId="0A000000">
      <w:pPr>
        <w:widowControl w:val="0"/>
        <w:ind w:firstLine="0" w:left="1701" w:right="1700"/>
        <w:jc w:val="both"/>
        <w:rPr>
          <w:b w:val="1"/>
          <w:sz w:val="28"/>
        </w:rPr>
      </w:pPr>
      <w:r>
        <w:rPr>
          <w:b w:val="1"/>
          <w:sz w:val="28"/>
        </w:rPr>
        <w:t xml:space="preserve"> </w:t>
      </w:r>
    </w:p>
    <w:p w14:paraId="0B000000">
      <w:pPr>
        <w:widowControl w:val="0"/>
        <w:ind w:firstLine="708" w:left="0" w:right="112"/>
        <w:jc w:val="both"/>
        <w:rPr>
          <w:sz w:val="28"/>
        </w:rPr>
      </w:pPr>
      <w:r>
        <w:rPr>
          <w:sz w:val="28"/>
        </w:rPr>
        <w:t>В соответствии с</w:t>
      </w:r>
      <w:r>
        <w:rPr>
          <w:sz w:val="28"/>
        </w:rPr>
        <w:t xml:space="preserve"> ч.7</w:t>
      </w:r>
      <w:r>
        <w:rPr>
          <w:sz w:val="28"/>
        </w:rPr>
        <w:t xml:space="preserve"> статьей 54 Федерального закона от 12.06.2002</w:t>
      </w:r>
      <w:r>
        <w:rPr>
          <w:sz w:val="28"/>
        </w:rPr>
        <w:t>г</w:t>
      </w:r>
    </w:p>
    <w:p w14:paraId="0C000000">
      <w:pPr>
        <w:widowControl w:val="0"/>
        <w:ind w:right="112"/>
        <w:jc w:val="both"/>
        <w:rPr>
          <w:sz w:val="28"/>
        </w:rPr>
      </w:pPr>
      <w:r>
        <w:rPr>
          <w:sz w:val="28"/>
        </w:rPr>
        <w:t>№ 67-</w:t>
      </w:r>
      <w:r>
        <w:rPr>
          <w:sz w:val="28"/>
        </w:rPr>
        <w:t>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>частью 3</w:t>
      </w:r>
      <w:r>
        <w:rPr>
          <w:sz w:val="28"/>
        </w:rPr>
        <w:br/>
      </w:r>
      <w:r>
        <w:rPr>
          <w:sz w:val="28"/>
        </w:rPr>
        <w:t xml:space="preserve"> статьи 43 Областного закона от 12.05.2016 № 525-ЗС  «О выборах</w:t>
      </w:r>
      <w:r>
        <w:rPr>
          <w:sz w:val="28"/>
        </w:rPr>
        <w:br/>
      </w:r>
      <w:r>
        <w:rPr>
          <w:sz w:val="28"/>
        </w:rPr>
        <w:t>и референдумах в Ростовской области»</w:t>
      </w:r>
      <w:r>
        <w:rPr>
          <w:sz w:val="28"/>
        </w:rPr>
        <w:t xml:space="preserve"> </w:t>
      </w:r>
      <w:r>
        <w:rPr>
          <w:sz w:val="28"/>
        </w:rPr>
        <w:t xml:space="preserve"> Территориальная избирательная комиссия города Таганрога(западная) Ростовской области</w:t>
      </w:r>
      <w:r>
        <w:rPr>
          <w:sz w:val="28"/>
        </w:rPr>
        <w:t xml:space="preserve"> </w:t>
      </w:r>
    </w:p>
    <w:p w14:paraId="0D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ПОСТАНОВИЛА:</w:t>
      </w:r>
    </w:p>
    <w:p w14:paraId="0E000000">
      <w:pPr>
        <w:widowControl w:val="0"/>
        <w:numPr>
          <w:numId w:val="1"/>
        </w:numPr>
        <w:ind w:firstLine="1134" w:left="0"/>
        <w:jc w:val="both"/>
        <w:rPr>
          <w:sz w:val="28"/>
        </w:rPr>
      </w:pPr>
      <w:r>
        <w:rPr>
          <w:sz w:val="28"/>
        </w:rPr>
        <w:t>Определить Перечень специальных мест для размещения печатных предвыбо</w:t>
      </w:r>
      <w:r>
        <w:rPr>
          <w:sz w:val="28"/>
        </w:rPr>
        <w:t>рных агитационных материалов</w:t>
      </w:r>
      <w:r>
        <w:rPr>
          <w:sz w:val="28"/>
        </w:rPr>
        <w:t xml:space="preserve"> на </w:t>
      </w:r>
      <w:r>
        <w:rPr>
          <w:sz w:val="28"/>
        </w:rPr>
        <w:t>в</w:t>
      </w:r>
      <w:r>
        <w:rPr>
          <w:sz w:val="28"/>
        </w:rPr>
        <w:t xml:space="preserve">ыборах </w:t>
      </w:r>
      <w:r>
        <w:rPr>
          <w:sz w:val="28"/>
        </w:rPr>
        <w:t>Губернатора Ростовской области</w:t>
      </w:r>
      <w:r>
        <w:rPr>
          <w:b w:val="1"/>
          <w:sz w:val="28"/>
        </w:rPr>
        <w:t xml:space="preserve"> </w:t>
      </w:r>
      <w:r>
        <w:rPr>
          <w:sz w:val="28"/>
        </w:rPr>
        <w:t xml:space="preserve"> на территории избирательных участков расположенных в границах относящихся к Территориальной избирательной комиссии города Таганрога (западная) Ростовской области </w:t>
      </w:r>
      <w:r>
        <w:rPr>
          <w:sz w:val="28"/>
        </w:rPr>
        <w:t>(</w:t>
      </w:r>
      <w:r>
        <w:rPr>
          <w:sz w:val="28"/>
        </w:rPr>
        <w:t>Приложение).</w:t>
      </w:r>
    </w:p>
    <w:p w14:paraId="0F000000">
      <w:pPr>
        <w:widowControl w:val="0"/>
        <w:ind w:firstLine="709" w:left="0"/>
        <w:jc w:val="both"/>
      </w:pPr>
      <w:r>
        <w:rPr>
          <w:sz w:val="28"/>
        </w:rPr>
        <w:t xml:space="preserve">2. </w:t>
      </w:r>
      <w:r>
        <w:rPr>
          <w:sz w:val="28"/>
        </w:rPr>
        <w:t>Предложить Администрации г. Таганрога выделить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 xml:space="preserve">согласно Перечня, специальные места </w:t>
      </w:r>
      <w:r>
        <w:rPr>
          <w:sz w:val="28"/>
        </w:rPr>
        <w:t>на территории избирательн</w:t>
      </w:r>
      <w:r>
        <w:rPr>
          <w:sz w:val="28"/>
        </w:rPr>
        <w:t>ых</w:t>
      </w:r>
      <w:r>
        <w:rPr>
          <w:sz w:val="28"/>
        </w:rPr>
        <w:t xml:space="preserve"> участк</w:t>
      </w:r>
      <w:r>
        <w:rPr>
          <w:sz w:val="28"/>
        </w:rPr>
        <w:t xml:space="preserve">ов, расположенных в границах </w:t>
      </w:r>
      <w:r>
        <w:rPr>
          <w:sz w:val="28"/>
        </w:rPr>
        <w:t xml:space="preserve"> относящихся к Территориальной избирательной комиссии города Таганрога (западная) Ростовской области,</w:t>
      </w:r>
      <w:r>
        <w:rPr>
          <w:sz w:val="28"/>
        </w:rPr>
        <w:t xml:space="preserve">для размещения печатных предвыборных агитационных материалов </w:t>
      </w:r>
      <w:r>
        <w:rPr>
          <w:sz w:val="28"/>
        </w:rPr>
        <w:t>на</w:t>
      </w:r>
      <w:r>
        <w:rPr>
          <w:sz w:val="28"/>
        </w:rPr>
        <w:t xml:space="preserve"> </w:t>
      </w:r>
      <w:r>
        <w:rPr>
          <w:sz w:val="28"/>
        </w:rPr>
        <w:t>выборах</w:t>
      </w:r>
      <w:r>
        <w:rPr>
          <w:sz w:val="28"/>
        </w:rPr>
        <w:t xml:space="preserve"> </w:t>
      </w:r>
      <w:r>
        <w:rPr>
          <w:sz w:val="28"/>
        </w:rPr>
        <w:t>Губернатора Ростовской области.</w:t>
      </w:r>
    </w:p>
    <w:p w14:paraId="10000000">
      <w:pPr>
        <w:widowControl w:val="0"/>
        <w:ind w:firstLine="708" w:left="0"/>
        <w:jc w:val="both"/>
        <w:rPr>
          <w:sz w:val="28"/>
        </w:rPr>
      </w:pPr>
      <w:r>
        <w:rPr>
          <w:sz w:val="28"/>
        </w:rPr>
        <w:t xml:space="preserve">3. Разместить настоящее постановление </w:t>
      </w:r>
      <w:r>
        <w:rPr>
          <w:sz w:val="28"/>
        </w:rPr>
        <w:t xml:space="preserve">на сайте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г. Таганрога(западная) Ростовской области в информационно-телекоммуникационной сети </w:t>
      </w:r>
      <w:r>
        <w:rPr>
          <w:sz w:val="28"/>
        </w:rPr>
        <w:t>«</w:t>
      </w:r>
      <w:r>
        <w:rPr>
          <w:sz w:val="28"/>
        </w:rPr>
        <w:t>Интернет</w:t>
      </w:r>
      <w:r>
        <w:rPr>
          <w:sz w:val="28"/>
        </w:rPr>
        <w:t>».</w:t>
      </w:r>
    </w:p>
    <w:p w14:paraId="11000000">
      <w:pPr>
        <w:widowControl w:val="0"/>
        <w:ind w:firstLine="708" w:left="0"/>
        <w:jc w:val="both"/>
        <w:rPr>
          <w:b w:val="1"/>
          <w:sz w:val="28"/>
        </w:rPr>
      </w:pPr>
      <w:r>
        <w:rPr>
          <w:sz w:val="28"/>
        </w:rPr>
        <w:t xml:space="preserve">4. </w:t>
      </w:r>
      <w:r>
        <w:rPr>
          <w:sz w:val="28"/>
        </w:rPr>
        <w:t>Контр</w:t>
      </w:r>
      <w:r>
        <w:rPr>
          <w:sz w:val="28"/>
        </w:rPr>
        <w:t>оль над исполнением настоящего п</w:t>
      </w:r>
      <w:r>
        <w:rPr>
          <w:sz w:val="28"/>
        </w:rPr>
        <w:t>остановления возложить на председателя Территориальной избирательной комиссии г. Таганрога (западная) Ростовской области</w:t>
      </w:r>
      <w:r>
        <w:rPr>
          <w:b w:val="0"/>
          <w:sz w:val="28"/>
        </w:rPr>
        <w:t xml:space="preserve"> А.М.Ищенко.</w:t>
      </w:r>
    </w:p>
    <w:p w14:paraId="12000000">
      <w:pPr>
        <w:widowControl w:val="0"/>
        <w:ind w:firstLine="708" w:left="0"/>
        <w:jc w:val="both"/>
        <w:rPr>
          <w:b w:val="0"/>
          <w:sz w:val="28"/>
        </w:rPr>
      </w:pPr>
    </w:p>
    <w:p w14:paraId="13000000">
      <w:pPr>
        <w:widowControl w:val="0"/>
        <w:ind/>
        <w:jc w:val="both"/>
        <w:rPr>
          <w:b w:val="1"/>
          <w:sz w:val="28"/>
        </w:rPr>
      </w:pPr>
    </w:p>
    <w:p w14:paraId="14000000">
      <w:pPr>
        <w:widowControl w:val="0"/>
        <w:ind/>
        <w:jc w:val="both"/>
        <w:rPr>
          <w:sz w:val="28"/>
        </w:rPr>
      </w:pPr>
      <w:r>
        <w:rPr>
          <w:sz w:val="28"/>
        </w:rPr>
        <w:t xml:space="preserve">        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</w:t>
      </w:r>
      <w:r>
        <w:rPr>
          <w:sz w:val="28"/>
        </w:rPr>
        <w:tab/>
      </w:r>
      <w:r>
        <w:rPr>
          <w:sz w:val="28"/>
        </w:rPr>
        <w:t>А.М.Ищенко</w:t>
      </w:r>
    </w:p>
    <w:p w14:paraId="15000000">
      <w:pPr>
        <w:widowControl w:val="0"/>
        <w:ind/>
        <w:jc w:val="both"/>
        <w:rPr>
          <w:sz w:val="28"/>
        </w:rPr>
      </w:pPr>
    </w:p>
    <w:p w14:paraId="16000000">
      <w:pPr>
        <w:widowControl w:val="0"/>
        <w:ind/>
        <w:jc w:val="center"/>
        <w:rPr>
          <w:b w:val="1"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0"/>
        <w:ind w:hanging="360" w:left="720"/>
      </w:pPr>
    </w:lvl>
    <w:lvl w:ilvl="1">
      <w:start w:val="1"/>
      <w:numFmt w:val="lowerLetter"/>
      <w:lvlText w:val="%2."/>
      <w:pPr>
        <w:widowControl w:val="0"/>
        <w:ind w:hanging="360" w:left="1440"/>
      </w:pPr>
    </w:lvl>
    <w:lvl w:ilvl="2">
      <w:start w:val="1"/>
      <w:numFmt w:val="lowerRoman"/>
      <w:lvlText w:val="%3."/>
      <w:lvlJc w:val="right"/>
      <w:pPr>
        <w:widowControl w:val="0"/>
        <w:ind w:hanging="360" w:left="2160"/>
      </w:pPr>
    </w:lvl>
    <w:lvl w:ilvl="3">
      <w:start w:val="1"/>
      <w:numFmt w:val="decimal"/>
      <w:lvlText w:val="%4."/>
      <w:pPr>
        <w:widowControl w:val="0"/>
        <w:ind w:hanging="360" w:left="2880"/>
      </w:pPr>
    </w:lvl>
    <w:lvl w:ilvl="4">
      <w:start w:val="1"/>
      <w:numFmt w:val="lowerLetter"/>
      <w:lvlText w:val="%5."/>
      <w:pPr>
        <w:widowControl w:val="0"/>
        <w:ind w:hanging="360" w:left="3600"/>
      </w:pPr>
    </w:lvl>
    <w:lvl w:ilvl="5">
      <w:start w:val="1"/>
      <w:numFmt w:val="lowerRoman"/>
      <w:lvlText w:val="%6."/>
      <w:lvlJc w:val="right"/>
      <w:pPr>
        <w:widowControl w:val="0"/>
        <w:ind w:hanging="360" w:left="4320"/>
      </w:pPr>
    </w:lvl>
    <w:lvl w:ilvl="6">
      <w:start w:val="1"/>
      <w:numFmt w:val="decimal"/>
      <w:lvlText w:val="%7."/>
      <w:pPr>
        <w:widowControl w:val="0"/>
        <w:ind w:hanging="360" w:left="5040"/>
      </w:pPr>
    </w:lvl>
    <w:lvl w:ilvl="7">
      <w:start w:val="1"/>
      <w:numFmt w:val="lowerLetter"/>
      <w:lvlText w:val="%8."/>
      <w:pPr>
        <w:widowControl w:val="0"/>
        <w:ind w:hanging="360" w:left="5760"/>
      </w:pPr>
    </w:lvl>
    <w:lvl w:ilvl="8">
      <w:start w:val="1"/>
      <w:numFmt w:val="lowerRoman"/>
      <w:lvlText w:val="%9."/>
      <w:lvlJc w:val="right"/>
      <w:pPr>
        <w:widowControl w:val="0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1_ch" w:type="character">
    <w:name w:val="Normal"/>
    <w:link w:val="Style_1"/>
    <w:rPr>
      <w:rFonts w:ascii="Times New Roman" w:hAnsi="Times New Roman"/>
      <w:sz w:val="20"/>
    </w:rPr>
  </w:style>
  <w:style w:styleId="Style_2" w:type="paragraph">
    <w:name w:val="List Paragraph"/>
    <w:basedOn w:val="Style_1"/>
    <w:link w:val="Style_2_ch"/>
    <w:pPr>
      <w:widowControl w:val="1"/>
      <w:ind w:firstLine="0" w:left="720"/>
      <w:contextualSpacing w:val="1"/>
    </w:pPr>
    <w:rPr>
      <w:sz w:val="24"/>
    </w:rPr>
  </w:style>
  <w:style w:styleId="Style_2_ch" w:type="character">
    <w:name w:val="List Paragraph"/>
    <w:basedOn w:val="Style_1_ch"/>
    <w:link w:val="Style_2"/>
    <w:rPr>
      <w:sz w:val="24"/>
    </w:rPr>
  </w:style>
  <w:style w:styleId="Style_3" w:type="paragraph">
    <w:name w:val="Balloon Text"/>
    <w:basedOn w:val="Style_1"/>
    <w:link w:val="Style_3_ch"/>
    <w:rPr>
      <w:rFonts w:ascii="Tahoma" w:hAnsi="Tahoma"/>
      <w:sz w:val="16"/>
    </w:rPr>
  </w:style>
  <w:style w:styleId="Style_3_ch" w:type="character">
    <w:name w:val="Balloon Text"/>
    <w:basedOn w:val="Style_1_ch"/>
    <w:link w:val="Style_3"/>
    <w:rPr>
      <w:rFonts w:ascii="Tahoma" w:hAnsi="Tahoma"/>
      <w:sz w:val="16"/>
    </w:rPr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1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toc 9"/>
    <w:next w:val="Style_1"/>
    <w:link w:val="Style_17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1"/>
    <w:link w:val="Style_19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1"/>
    <w:link w:val="Style_20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1"/>
    <w:link w:val="Style_21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1"/>
    <w:link w:val="Style_22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Default Paragraph Font"/>
    <w:link w:val="Style_23_ch"/>
  </w:style>
  <w:style w:styleId="Style_23_ch" w:type="character">
    <w:name w:val="Default Paragraph Font"/>
    <w:link w:val="Style_23"/>
  </w:style>
  <w:style w:styleId="Style_24" w:type="paragraph">
    <w:name w:val="heading 2"/>
    <w:next w:val="Style_1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2024-07-09T12:41:17Z</dcterms:created>
  <dcterms:modified xsi:type="dcterms:W3CDTF">2025-07-21T09:31:45Z</dcterms:modified>
</cp:coreProperties>
</file>