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480" w:lineRule="auto"/>
        <w:ind/>
        <w:jc w:val="center"/>
        <w:rPr>
          <w:sz w:val="20"/>
        </w:rPr>
      </w:pPr>
      <w:r>
        <w:rPr>
          <w:sz w:val="20"/>
        </w:rPr>
        <w:drawing>
          <wp:inline>
            <wp:extent cx="521462" cy="57340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521462" cy="57340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ind w:right="175"/>
        <w:jc w:val="center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3000000">
      <w:pPr>
        <w:tabs>
          <w:tab w:leader="none" w:pos="394" w:val="left"/>
          <w:tab w:leader="none" w:pos="4590" w:val="center"/>
        </w:tabs>
        <w:ind w:right="175"/>
        <w:rPr>
          <w:b w:val="1"/>
        </w:rPr>
      </w:pPr>
      <w:r>
        <w:rPr>
          <w:b w:val="1"/>
        </w:rPr>
        <w:t xml:space="preserve">ГОРОДА </w:t>
      </w:r>
      <w:r>
        <w:rPr>
          <w:b w:val="1"/>
        </w:rPr>
        <w:t>ТАГАНРОГА (ЗАПАДНАЯ) РОСТОВСКОЙ ОБЛАСТИ</w:t>
      </w:r>
    </w:p>
    <w:p w14:paraId="04000000">
      <w:pPr>
        <w:ind w:right="175"/>
        <w:jc w:val="center"/>
        <w:rPr>
          <w:b w:val="1"/>
          <w:spacing w:val="20"/>
          <w:sz w:val="16"/>
        </w:rPr>
      </w:pPr>
    </w:p>
    <w:p w14:paraId="05000000">
      <w:pPr>
        <w:ind w:right="175"/>
        <w:jc w:val="center"/>
        <w:rPr>
          <w:b w:val="1"/>
          <w:spacing w:val="20"/>
          <w:sz w:val="12"/>
        </w:rPr>
      </w:pPr>
    </w:p>
    <w:p w14:paraId="06000000">
      <w:pPr>
        <w:ind w:right="175"/>
        <w:jc w:val="center"/>
      </w:pPr>
      <w:r>
        <w:rPr>
          <w:b w:val="1"/>
          <w:spacing w:val="20"/>
        </w:rPr>
        <w:t>ПОСТАНОВЛЕНИЕ</w:t>
      </w:r>
    </w:p>
    <w:p w14:paraId="07000000">
      <w:pPr>
        <w:ind w:right="175"/>
        <w:jc w:val="both"/>
      </w:pPr>
      <w:r>
        <w:t>19 июня 2024г.</w:t>
      </w:r>
      <w:r>
        <w:t xml:space="preserve">                                                        </w:t>
      </w:r>
      <w:r>
        <w:tab/>
      </w:r>
      <w:r>
        <w:tab/>
      </w:r>
      <w:r>
        <w:t xml:space="preserve">            № 93-10</w:t>
      </w:r>
    </w:p>
    <w:p w14:paraId="08000000">
      <w:pPr>
        <w:ind w:right="175"/>
        <w:jc w:val="center"/>
      </w:pPr>
      <w:r>
        <w:t xml:space="preserve">г. </w:t>
      </w:r>
      <w:r>
        <w:t>Таганрог</w:t>
      </w:r>
    </w:p>
    <w:p w14:paraId="09000000">
      <w:pPr>
        <w:ind/>
        <w:jc w:val="center"/>
      </w:pPr>
    </w:p>
    <w:p w14:paraId="0A000000">
      <w:pPr>
        <w:ind w:firstLine="0" w:left="1701" w:right="1416"/>
        <w:jc w:val="both"/>
        <w:rPr>
          <w:b w:val="1"/>
        </w:rPr>
      </w:pPr>
      <w:r>
        <w:rPr>
          <w:b w:val="1"/>
        </w:rPr>
        <w:t xml:space="preserve">О Рабочей группе Территориальной избирательной комиссии </w:t>
      </w:r>
      <w:r>
        <w:rPr>
          <w:b w:val="1"/>
        </w:rPr>
        <w:t xml:space="preserve">города Таганрога (западная) Ростовской области </w:t>
      </w:r>
      <w:r>
        <w:rPr>
          <w:b w:val="1"/>
        </w:rPr>
        <w:t xml:space="preserve">по информационным спорам и иным вопросам информационного обеспечения </w:t>
      </w:r>
      <w:r>
        <w:rPr>
          <w:b w:val="1"/>
        </w:rPr>
        <w:t xml:space="preserve"> </w:t>
      </w:r>
      <w:r>
        <w:rPr>
          <w:b w:val="1"/>
        </w:rPr>
        <w:t>выбор</w:t>
      </w:r>
      <w:r>
        <w:rPr>
          <w:b w:val="1"/>
        </w:rPr>
        <w:t>ов</w:t>
      </w:r>
      <w:r>
        <w:rPr>
          <w:b w:val="1"/>
        </w:rPr>
        <w:t xml:space="preserve"> </w:t>
      </w:r>
      <w:r>
        <w:rPr>
          <w:b w:val="1"/>
        </w:rPr>
        <w:t xml:space="preserve">депутатов </w:t>
      </w:r>
      <w:r>
        <w:rPr>
          <w:b w:val="1"/>
        </w:rPr>
        <w:t xml:space="preserve">Городской Думы города Таганрога восьмого созыва </w:t>
      </w:r>
      <w:r>
        <w:rPr>
          <w:b w:val="1"/>
        </w:rPr>
        <w:t xml:space="preserve"> </w:t>
      </w:r>
    </w:p>
    <w:p w14:paraId="0B000000">
      <w:pPr>
        <w:ind w:firstLine="0" w:left="1701" w:right="1416"/>
        <w:jc w:val="both"/>
        <w:rPr>
          <w:b w:val="1"/>
        </w:rPr>
      </w:pPr>
    </w:p>
    <w:p w14:paraId="0C000000">
      <w:pPr>
        <w:ind w:firstLine="709" w:left="0"/>
        <w:jc w:val="both"/>
      </w:pPr>
      <w:r>
        <w:t xml:space="preserve">В соответствии с </w:t>
      </w:r>
      <w:r>
        <w:t>пунктами</w:t>
      </w:r>
      <w:r>
        <w:t xml:space="preserve"> 9</w:t>
      </w:r>
      <w:r>
        <w:t xml:space="preserve">, </w:t>
      </w:r>
      <w:r>
        <w:t>9</w:t>
      </w:r>
      <w:r>
        <w:rPr>
          <w:vertAlign w:val="superscript"/>
        </w:rPr>
        <w:t>1</w:t>
      </w:r>
      <w:r>
        <w:t xml:space="preserve"> статьи 26 Федерального закона </w:t>
      </w:r>
      <w:r>
        <w:br/>
      </w:r>
      <w: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                               </w:t>
      </w:r>
      <w:r>
        <w:t>частью 13</w:t>
      </w:r>
      <w:r>
        <w:t xml:space="preserve"> </w:t>
      </w:r>
      <w:r>
        <w:t>статьи 17</w:t>
      </w:r>
      <w:r>
        <w:t xml:space="preserve"> </w:t>
      </w:r>
      <w:r>
        <w:t xml:space="preserve">Областного закона от 12.05.2016 № 525-ЗС «О выборах </w:t>
      </w:r>
      <w:r>
        <w:br/>
      </w:r>
      <w:r>
        <w:t xml:space="preserve">и референдумах в Ростовской области», </w:t>
      </w:r>
      <w:r>
        <w:rPr>
          <w:color w:val="000000"/>
        </w:rPr>
        <w:t>постановлением Избирательной комиссии Ростовской области от 17.05.2022 № 215-4 «О во</w:t>
      </w:r>
      <w:r>
        <w:rPr>
          <w:color w:val="000000"/>
        </w:rPr>
        <w:t xml:space="preserve">зложении исполнения полномочий </w:t>
      </w:r>
      <w:r>
        <w:rPr>
          <w:color w:val="000000"/>
        </w:rPr>
        <w:t>по подготовке и проведению выборов в органы местного самоуправления, местного референдума на террито</w:t>
      </w:r>
      <w:r>
        <w:rPr>
          <w:color w:val="000000"/>
        </w:rPr>
        <w:t xml:space="preserve">рии муниципального образования </w:t>
      </w:r>
      <w:r>
        <w:rPr>
          <w:color w:val="000000"/>
        </w:rPr>
        <w:t>«Город Таганрог» на Территориальную избирательную комиссию города Таганрога (западная) Ростовской области»,</w:t>
      </w:r>
      <w:r>
        <w:rPr>
          <w:color w:val="FF0000"/>
        </w:rPr>
        <w:t xml:space="preserve"> </w:t>
      </w:r>
      <w:r>
        <w:t xml:space="preserve">в целях реализации полномочий Территориальной избирательной комиссии </w:t>
      </w:r>
      <w:r>
        <w:t xml:space="preserve">города </w:t>
      </w:r>
      <w:r>
        <w:t>Таганрога (западная) Ростовской области</w:t>
      </w:r>
      <w:r>
        <w:t xml:space="preserve"> </w:t>
      </w:r>
      <w:r>
        <w:t xml:space="preserve">по контролю за соблюдением участниками избирательного процесса порядка и правил информирования избирателей, проведения предвыборной агитации </w:t>
      </w:r>
      <w:r>
        <w:t xml:space="preserve">при проведении </w:t>
      </w:r>
      <w:r>
        <w:t xml:space="preserve"> выборов депутатов </w:t>
      </w:r>
      <w:r>
        <w:t xml:space="preserve">Городской Думы города Таганрога восьмого созыва </w:t>
      </w:r>
      <w:r>
        <w:t xml:space="preserve">Территориальная избирательная комиссия города </w:t>
      </w:r>
      <w:r>
        <w:t>Таганрога (западная) Ростовской области</w:t>
      </w:r>
      <w:r>
        <w:t xml:space="preserve"> </w:t>
      </w:r>
    </w:p>
    <w:p w14:paraId="0D000000">
      <w:pPr>
        <w:ind w:right="-185"/>
      </w:pPr>
    </w:p>
    <w:p w14:paraId="0E000000">
      <w:pPr>
        <w:ind w:right="-185"/>
        <w:jc w:val="center"/>
      </w:pPr>
      <w:r>
        <w:t>ПОСТАНОВЛЯЕТ:</w:t>
      </w:r>
    </w:p>
    <w:p w14:paraId="0F000000">
      <w:pPr>
        <w:ind w:firstLine="708" w:left="0"/>
        <w:jc w:val="center"/>
      </w:pPr>
    </w:p>
    <w:p w14:paraId="10000000">
      <w:pPr>
        <w:pStyle w:val="Style_1"/>
        <w:numPr>
          <w:ilvl w:val="0"/>
          <w:numId w:val="1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Утвердить </w:t>
      </w:r>
      <w:r>
        <w:rPr>
          <w:rFonts w:ascii="Times New Roman" w:hAnsi="Times New Roman"/>
          <w:sz w:val="28"/>
        </w:rPr>
        <w:t>Положение о Рабочей группе Территориальной избирательной комиссии</w:t>
      </w:r>
      <w:r>
        <w:rPr>
          <w:rFonts w:ascii="Times New Roman" w:hAnsi="Times New Roman"/>
          <w:sz w:val="28"/>
        </w:rPr>
        <w:t xml:space="preserve"> города </w:t>
      </w:r>
      <w:r>
        <w:rPr>
          <w:rFonts w:ascii="Times New Roman" w:hAnsi="Times New Roman"/>
          <w:sz w:val="28"/>
        </w:rPr>
        <w:t>Таганрога (западная) Ростовской области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по информационным спорам и иным вопросам информационного обеспечения  выборов депутата </w:t>
      </w:r>
      <w:r>
        <w:rPr>
          <w:rFonts w:ascii="Times New Roman" w:hAnsi="Times New Roman"/>
          <w:sz w:val="28"/>
        </w:rPr>
        <w:t>Городской Думы города Таганрога восьмого созыва (</w:t>
      </w:r>
      <w:r>
        <w:rPr>
          <w:rFonts w:ascii="Times New Roman" w:hAnsi="Times New Roman"/>
          <w:sz w:val="28"/>
        </w:rPr>
        <w:t>приложению № 1).</w:t>
      </w:r>
    </w:p>
    <w:p w14:paraId="11000000">
      <w:pPr>
        <w:pStyle w:val="Style_1"/>
        <w:numPr>
          <w:ilvl w:val="0"/>
          <w:numId w:val="1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Утвердить </w:t>
      </w:r>
      <w:r>
        <w:rPr>
          <w:rFonts w:ascii="Times New Roman" w:hAnsi="Times New Roman"/>
          <w:sz w:val="28"/>
        </w:rPr>
        <w:t xml:space="preserve">состав Рабочей группы Территориальной избирательной комиссии города </w:t>
      </w:r>
      <w:r>
        <w:rPr>
          <w:rFonts w:ascii="Times New Roman" w:hAnsi="Times New Roman"/>
          <w:sz w:val="28"/>
        </w:rPr>
        <w:t>Таганрога (западная) Ростовской области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по информационным спорам и иным вопросам информационного обеспечения  выборов депутатов </w:t>
      </w:r>
      <w:r>
        <w:rPr>
          <w:rFonts w:ascii="Times New Roman" w:hAnsi="Times New Roman"/>
          <w:sz w:val="28"/>
        </w:rPr>
        <w:t xml:space="preserve">Городской Думы города Таганрога восьмого созыва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согласно приложению № </w:t>
      </w: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.</w:t>
      </w:r>
    </w:p>
    <w:p w14:paraId="12000000">
      <w:pPr>
        <w:pStyle w:val="Style_1"/>
        <w:numPr>
          <w:ilvl w:val="0"/>
          <w:numId w:val="1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Разместить настоящее постановление на сайте Территориальной избирательной комиссии города </w:t>
      </w:r>
      <w:r>
        <w:rPr>
          <w:rFonts w:ascii="Times New Roman" w:hAnsi="Times New Roman"/>
          <w:sz w:val="28"/>
        </w:rPr>
        <w:t xml:space="preserve">Таганрога (западная) Ростовской области </w:t>
      </w:r>
      <w:r>
        <w:rPr>
          <w:rFonts w:ascii="Times New Roman" w:hAnsi="Times New Roman"/>
          <w:sz w:val="28"/>
        </w:rPr>
        <w:t>в информационно – телекоммуникационной сети «Интернет».</w:t>
      </w:r>
    </w:p>
    <w:p w14:paraId="13000000">
      <w:pPr>
        <w:pStyle w:val="Style_1"/>
        <w:numPr>
          <w:ilvl w:val="0"/>
          <w:numId w:val="1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над исполнением настоящего постановления возложить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на секретаря Территориальной избирательной комиссии  </w:t>
      </w:r>
      <w:r>
        <w:rPr>
          <w:rFonts w:ascii="Times New Roman" w:hAnsi="Times New Roman"/>
          <w:sz w:val="28"/>
        </w:rPr>
        <w:t>города Таганрога (западная) Ростовской области Н.В.Мельникову.</w:t>
      </w:r>
    </w:p>
    <w:p w14:paraId="14000000">
      <w:pPr>
        <w:pStyle w:val="Style_1"/>
        <w:ind w:firstLine="0" w:left="360"/>
        <w:jc w:val="both"/>
        <w:rPr>
          <w:rFonts w:ascii="Times New Roman" w:hAnsi="Times New Roman"/>
          <w:sz w:val="28"/>
        </w:rPr>
      </w:pPr>
    </w:p>
    <w:p w14:paraId="15000000"/>
    <w:tbl>
      <w:tblPr>
        <w:tblStyle w:val="Style_2"/>
        <w:tblW w:type="auto" w:w="0"/>
        <w:tblLayout w:type="fixed"/>
      </w:tblPr>
      <w:tblGrid>
        <w:gridCol w:w="3274"/>
        <w:gridCol w:w="3638"/>
        <w:gridCol w:w="2911"/>
      </w:tblGrid>
      <w:tr>
        <w:trPr>
          <w:trHeight w:hRule="atLeast" w:val="779"/>
        </w:trPr>
        <w:tc>
          <w:tcPr>
            <w:tcW w:type="dxa" w:w="3274"/>
            <w:shd w:fill="auto" w:val="clear"/>
          </w:tcPr>
          <w:p w14:paraId="16000000">
            <w:pPr>
              <w:tabs>
                <w:tab w:leader="none" w:pos="7655" w:val="left"/>
                <w:tab w:leader="none" w:pos="7938" w:val="left"/>
                <w:tab w:leader="none" w:pos="8505" w:val="left"/>
              </w:tabs>
              <w:ind/>
            </w:pPr>
            <w:r>
              <w:t xml:space="preserve">Председатель комиссии                                            </w:t>
            </w:r>
            <w:r>
              <w:t xml:space="preserve">                         </w:t>
            </w:r>
          </w:p>
        </w:tc>
        <w:tc>
          <w:tcPr>
            <w:tcW w:type="dxa" w:w="3638"/>
            <w:shd w:fill="auto" w:val="clear"/>
          </w:tcPr>
          <w:p w14:paraId="17000000">
            <w:pPr>
              <w:tabs>
                <w:tab w:leader="none" w:pos="7655" w:val="left"/>
                <w:tab w:leader="none" w:pos="7938" w:val="left"/>
                <w:tab w:leader="none" w:pos="8505" w:val="left"/>
              </w:tabs>
              <w:ind/>
            </w:pPr>
            <w:r>
              <w:t xml:space="preserve">  </w:t>
            </w:r>
          </w:p>
        </w:tc>
        <w:tc>
          <w:tcPr>
            <w:tcW w:type="dxa" w:w="2911"/>
            <w:shd w:fill="auto" w:val="clear"/>
          </w:tcPr>
          <w:p w14:paraId="18000000">
            <w:pPr>
              <w:tabs>
                <w:tab w:leader="none" w:pos="7655" w:val="left"/>
                <w:tab w:leader="none" w:pos="7938" w:val="left"/>
                <w:tab w:leader="none" w:pos="8505" w:val="left"/>
              </w:tabs>
              <w:ind/>
            </w:pPr>
            <w:r>
              <w:t xml:space="preserve">    А.М.Ищенко</w:t>
            </w:r>
          </w:p>
        </w:tc>
      </w:tr>
      <w:tr>
        <w:trPr>
          <w:trHeight w:hRule="atLeast" w:val="454"/>
        </w:trPr>
        <w:tc>
          <w:tcPr>
            <w:tcW w:type="dxa" w:w="3274"/>
            <w:shd w:fill="auto" w:val="clear"/>
          </w:tcPr>
          <w:p w14:paraId="19000000">
            <w:pPr>
              <w:tabs>
                <w:tab w:leader="none" w:pos="7655" w:val="left"/>
                <w:tab w:leader="none" w:pos="7938" w:val="left"/>
                <w:tab w:leader="none" w:pos="8505" w:val="left"/>
              </w:tabs>
              <w:ind/>
            </w:pPr>
            <w:r>
              <w:t xml:space="preserve">Секретарь комиссии                                                                  </w:t>
            </w:r>
          </w:p>
        </w:tc>
        <w:tc>
          <w:tcPr>
            <w:tcW w:type="dxa" w:w="3638"/>
            <w:shd w:fill="auto" w:val="clear"/>
          </w:tcPr>
          <w:p w14:paraId="1A000000">
            <w:pPr>
              <w:tabs>
                <w:tab w:leader="none" w:pos="7655" w:val="left"/>
                <w:tab w:leader="none" w:pos="7938" w:val="left"/>
                <w:tab w:leader="none" w:pos="8505" w:val="left"/>
              </w:tabs>
              <w:ind/>
            </w:pPr>
          </w:p>
        </w:tc>
        <w:tc>
          <w:tcPr>
            <w:tcW w:type="dxa" w:w="2911"/>
            <w:shd w:fill="auto" w:val="clear"/>
          </w:tcPr>
          <w:p w14:paraId="1B000000">
            <w:pPr>
              <w:tabs>
                <w:tab w:leader="none" w:pos="7655" w:val="left"/>
                <w:tab w:leader="none" w:pos="7938" w:val="left"/>
                <w:tab w:leader="none" w:pos="8505" w:val="left"/>
              </w:tabs>
              <w:ind/>
            </w:pPr>
            <w:r>
              <w:t xml:space="preserve">     </w:t>
            </w:r>
            <w:r>
              <w:t>Н.В.Мельникова</w:t>
            </w:r>
          </w:p>
        </w:tc>
      </w:tr>
    </w:tbl>
    <w:p w14:paraId="1C000000"/>
    <w:p w14:paraId="1D000000">
      <w:pPr>
        <w:widowControl w:val="0"/>
        <w:ind w:firstLine="0" w:left="5812"/>
        <w:jc w:val="center"/>
      </w:pPr>
    </w:p>
    <w:p w14:paraId="1E000000">
      <w:pPr>
        <w:widowControl w:val="0"/>
        <w:ind w:firstLine="0" w:left="5812"/>
        <w:jc w:val="center"/>
      </w:pPr>
    </w:p>
    <w:p w14:paraId="1F000000">
      <w:pPr>
        <w:widowControl w:val="0"/>
        <w:ind w:firstLine="0" w:left="5812"/>
        <w:jc w:val="center"/>
      </w:pPr>
    </w:p>
    <w:p w14:paraId="20000000">
      <w:pPr>
        <w:widowControl w:val="0"/>
        <w:ind w:firstLine="0" w:left="5812"/>
        <w:jc w:val="center"/>
      </w:pPr>
    </w:p>
    <w:p w14:paraId="21000000">
      <w:pPr>
        <w:widowControl w:val="0"/>
        <w:ind w:firstLine="0" w:left="5812"/>
        <w:jc w:val="center"/>
      </w:pPr>
    </w:p>
    <w:p w14:paraId="22000000">
      <w:pPr>
        <w:widowControl w:val="0"/>
        <w:ind w:firstLine="0" w:left="5812"/>
        <w:jc w:val="center"/>
      </w:pPr>
    </w:p>
    <w:p w14:paraId="23000000">
      <w:pPr>
        <w:widowControl w:val="0"/>
        <w:ind w:firstLine="0" w:left="5812"/>
        <w:jc w:val="center"/>
      </w:pPr>
    </w:p>
    <w:p w14:paraId="24000000">
      <w:pPr>
        <w:widowControl w:val="0"/>
        <w:ind w:firstLine="0" w:left="5812"/>
        <w:jc w:val="center"/>
      </w:pPr>
    </w:p>
    <w:p w14:paraId="25000000">
      <w:pPr>
        <w:widowControl w:val="0"/>
        <w:ind w:firstLine="0" w:left="5812"/>
        <w:jc w:val="center"/>
      </w:pPr>
    </w:p>
    <w:p w14:paraId="26000000">
      <w:pPr>
        <w:widowControl w:val="0"/>
        <w:ind w:firstLine="0" w:left="5812"/>
        <w:jc w:val="center"/>
      </w:pPr>
    </w:p>
    <w:p w14:paraId="27000000">
      <w:pPr>
        <w:widowControl w:val="0"/>
        <w:ind w:firstLine="0" w:left="5812"/>
        <w:jc w:val="center"/>
      </w:pPr>
    </w:p>
    <w:p w14:paraId="28000000">
      <w:pPr>
        <w:widowControl w:val="0"/>
        <w:ind w:firstLine="0" w:left="5812"/>
        <w:jc w:val="center"/>
      </w:pPr>
    </w:p>
    <w:p w14:paraId="29000000">
      <w:pPr>
        <w:widowControl w:val="0"/>
        <w:ind w:firstLine="0" w:left="5812"/>
        <w:jc w:val="center"/>
      </w:pPr>
    </w:p>
    <w:p w14:paraId="2A000000">
      <w:pPr>
        <w:widowControl w:val="0"/>
        <w:ind w:firstLine="0" w:left="5954"/>
        <w:jc w:val="center"/>
        <w:rPr>
          <w:sz w:val="24"/>
        </w:rPr>
      </w:pPr>
    </w:p>
    <w:p w14:paraId="2B000000">
      <w:pPr>
        <w:widowControl w:val="0"/>
        <w:ind w:firstLine="0" w:left="5954"/>
        <w:jc w:val="center"/>
        <w:rPr>
          <w:sz w:val="24"/>
        </w:rPr>
      </w:pPr>
    </w:p>
    <w:p w14:paraId="2C000000">
      <w:pPr>
        <w:widowControl w:val="0"/>
        <w:ind w:firstLine="0" w:left="5954"/>
        <w:jc w:val="center"/>
        <w:rPr>
          <w:sz w:val="24"/>
        </w:rPr>
      </w:pPr>
    </w:p>
    <w:p w14:paraId="2D000000">
      <w:pPr>
        <w:widowControl w:val="0"/>
        <w:ind w:firstLine="0" w:left="5954"/>
        <w:jc w:val="center"/>
        <w:rPr>
          <w:sz w:val="24"/>
        </w:rPr>
      </w:pPr>
    </w:p>
    <w:p w14:paraId="2E000000">
      <w:pPr>
        <w:widowControl w:val="0"/>
        <w:ind w:firstLine="0" w:left="5954"/>
        <w:jc w:val="center"/>
        <w:rPr>
          <w:sz w:val="24"/>
        </w:rPr>
      </w:pPr>
    </w:p>
    <w:p w14:paraId="2F000000">
      <w:pPr>
        <w:widowControl w:val="0"/>
        <w:ind w:firstLine="0" w:left="5954"/>
        <w:jc w:val="center"/>
        <w:rPr>
          <w:sz w:val="24"/>
        </w:rPr>
      </w:pPr>
    </w:p>
    <w:p w14:paraId="30000000">
      <w:pPr>
        <w:widowControl w:val="0"/>
        <w:ind w:firstLine="0" w:left="5954"/>
        <w:jc w:val="center"/>
        <w:rPr>
          <w:sz w:val="24"/>
        </w:rPr>
      </w:pPr>
    </w:p>
    <w:p w14:paraId="31000000">
      <w:pPr>
        <w:widowControl w:val="0"/>
        <w:ind w:firstLine="0" w:left="5954"/>
        <w:jc w:val="center"/>
        <w:rPr>
          <w:sz w:val="24"/>
        </w:rPr>
      </w:pPr>
    </w:p>
    <w:p w14:paraId="32000000">
      <w:pPr>
        <w:widowControl w:val="0"/>
        <w:ind w:firstLine="0" w:left="5954"/>
        <w:jc w:val="center"/>
        <w:rPr>
          <w:sz w:val="24"/>
        </w:rPr>
      </w:pPr>
    </w:p>
    <w:p w14:paraId="33000000">
      <w:pPr>
        <w:widowControl w:val="0"/>
        <w:ind w:firstLine="0" w:left="5954"/>
        <w:jc w:val="center"/>
        <w:rPr>
          <w:sz w:val="24"/>
        </w:rPr>
      </w:pPr>
    </w:p>
    <w:p w14:paraId="34000000">
      <w:pPr>
        <w:widowControl w:val="0"/>
        <w:ind w:firstLine="0" w:left="5954"/>
        <w:jc w:val="center"/>
        <w:rPr>
          <w:sz w:val="24"/>
        </w:rPr>
      </w:pPr>
    </w:p>
    <w:p w14:paraId="35000000">
      <w:pPr>
        <w:widowControl w:val="0"/>
        <w:ind w:firstLine="0" w:left="5954"/>
        <w:jc w:val="center"/>
        <w:rPr>
          <w:sz w:val="24"/>
        </w:rPr>
      </w:pPr>
    </w:p>
    <w:p w14:paraId="36000000">
      <w:pPr>
        <w:widowControl w:val="0"/>
        <w:ind w:firstLine="0" w:left="5954"/>
        <w:jc w:val="center"/>
        <w:rPr>
          <w:sz w:val="24"/>
        </w:rPr>
      </w:pPr>
    </w:p>
    <w:p w14:paraId="37000000">
      <w:pPr>
        <w:widowControl w:val="0"/>
        <w:ind w:firstLine="0" w:left="5954"/>
        <w:jc w:val="center"/>
        <w:rPr>
          <w:sz w:val="24"/>
        </w:rPr>
      </w:pPr>
    </w:p>
    <w:p w14:paraId="38000000">
      <w:pPr>
        <w:widowControl w:val="0"/>
        <w:ind w:firstLine="0" w:left="5954"/>
        <w:jc w:val="center"/>
        <w:rPr>
          <w:sz w:val="24"/>
        </w:rPr>
      </w:pPr>
    </w:p>
    <w:p w14:paraId="39000000">
      <w:pPr>
        <w:widowControl w:val="0"/>
        <w:ind w:firstLine="0" w:left="5954"/>
        <w:jc w:val="center"/>
        <w:rPr>
          <w:sz w:val="24"/>
        </w:rPr>
      </w:pPr>
    </w:p>
    <w:p w14:paraId="3A000000">
      <w:pPr>
        <w:widowControl w:val="0"/>
        <w:ind w:firstLine="0" w:left="5954"/>
        <w:jc w:val="center"/>
        <w:rPr>
          <w:sz w:val="24"/>
        </w:rPr>
      </w:pPr>
    </w:p>
    <w:p w14:paraId="3B000000">
      <w:pPr>
        <w:widowControl w:val="0"/>
        <w:ind w:firstLine="0" w:left="5954"/>
        <w:jc w:val="center"/>
        <w:rPr>
          <w:sz w:val="24"/>
        </w:rPr>
      </w:pPr>
    </w:p>
    <w:p w14:paraId="3C000000">
      <w:pPr>
        <w:widowControl w:val="0"/>
        <w:ind w:firstLine="0" w:left="5954"/>
        <w:jc w:val="center"/>
        <w:rPr>
          <w:sz w:val="24"/>
        </w:rPr>
      </w:pPr>
    </w:p>
    <w:p w14:paraId="3D000000">
      <w:pPr>
        <w:widowControl w:val="0"/>
        <w:ind w:firstLine="0" w:left="5954"/>
        <w:jc w:val="center"/>
        <w:rPr>
          <w:sz w:val="24"/>
        </w:rPr>
      </w:pPr>
    </w:p>
    <w:p w14:paraId="3E000000">
      <w:pPr>
        <w:widowControl w:val="0"/>
        <w:ind w:firstLine="0" w:left="5954"/>
        <w:jc w:val="center"/>
        <w:rPr>
          <w:sz w:val="24"/>
        </w:rPr>
      </w:pPr>
    </w:p>
    <w:p w14:paraId="3F000000">
      <w:pPr>
        <w:widowControl w:val="0"/>
        <w:ind w:firstLine="0" w:left="5954"/>
        <w:jc w:val="center"/>
        <w:rPr>
          <w:sz w:val="24"/>
        </w:rPr>
      </w:pPr>
    </w:p>
    <w:p w14:paraId="40000000">
      <w:pPr>
        <w:widowControl w:val="0"/>
        <w:ind w:firstLine="0" w:left="5954"/>
        <w:jc w:val="center"/>
        <w:rPr>
          <w:sz w:val="24"/>
        </w:rPr>
      </w:pPr>
      <w:r>
        <w:rPr>
          <w:sz w:val="24"/>
        </w:rPr>
        <w:t xml:space="preserve">Приложение № </w:t>
      </w:r>
      <w:r>
        <w:rPr>
          <w:sz w:val="24"/>
        </w:rPr>
        <w:t>1</w:t>
      </w:r>
    </w:p>
    <w:p w14:paraId="41000000">
      <w:pPr>
        <w:widowControl w:val="0"/>
        <w:ind w:firstLine="0" w:left="5954"/>
        <w:jc w:val="center"/>
        <w:rPr>
          <w:sz w:val="24"/>
        </w:rPr>
      </w:pPr>
    </w:p>
    <w:p w14:paraId="42000000">
      <w:pPr>
        <w:widowControl w:val="0"/>
        <w:ind w:firstLine="0" w:left="5954"/>
        <w:jc w:val="center"/>
        <w:rPr>
          <w:sz w:val="24"/>
        </w:rPr>
      </w:pPr>
      <w:r>
        <w:rPr>
          <w:sz w:val="24"/>
        </w:rPr>
        <w:t>УТВЕРЖДЕН</w:t>
      </w:r>
      <w:r>
        <w:rPr>
          <w:sz w:val="24"/>
        </w:rPr>
        <w:t>О</w:t>
      </w:r>
    </w:p>
    <w:p w14:paraId="43000000">
      <w:pPr>
        <w:widowControl w:val="0"/>
        <w:ind w:firstLine="0" w:left="5954"/>
        <w:jc w:val="center"/>
        <w:rPr>
          <w:sz w:val="24"/>
        </w:rPr>
      </w:pPr>
      <w:r>
        <w:rPr>
          <w:sz w:val="24"/>
        </w:rPr>
        <w:t xml:space="preserve">постановлением </w:t>
      </w:r>
      <w:r>
        <w:rPr>
          <w:sz w:val="24"/>
        </w:rPr>
        <w:t>Территориальной и</w:t>
      </w:r>
      <w:r>
        <w:rPr>
          <w:sz w:val="24"/>
        </w:rPr>
        <w:t xml:space="preserve">збирательной комиссии </w:t>
      </w:r>
      <w:r>
        <w:rPr>
          <w:sz w:val="24"/>
        </w:rPr>
        <w:t xml:space="preserve">города </w:t>
      </w:r>
      <w:r>
        <w:rPr>
          <w:sz w:val="24"/>
        </w:rPr>
        <w:t>Таганрога (западная) Ростовской области</w:t>
      </w:r>
    </w:p>
    <w:p w14:paraId="44000000">
      <w:pPr>
        <w:widowControl w:val="0"/>
        <w:ind w:firstLine="0" w:left="5954"/>
        <w:jc w:val="center"/>
        <w:rPr>
          <w:sz w:val="24"/>
        </w:rPr>
      </w:pPr>
      <w:r>
        <w:rPr>
          <w:sz w:val="24"/>
        </w:rPr>
        <w:t xml:space="preserve">от </w:t>
      </w:r>
      <w:r>
        <w:rPr>
          <w:sz w:val="24"/>
        </w:rPr>
        <w:t>19.06.2024</w:t>
      </w:r>
      <w:r>
        <w:rPr>
          <w:sz w:val="24"/>
        </w:rPr>
        <w:t xml:space="preserve"> № 93-10</w:t>
      </w:r>
    </w:p>
    <w:p w14:paraId="45000000">
      <w:pPr>
        <w:ind w:firstLine="0" w:left="5670"/>
      </w:pPr>
    </w:p>
    <w:p w14:paraId="46000000">
      <w:pPr>
        <w:ind w:firstLine="0" w:left="5670"/>
      </w:pPr>
    </w:p>
    <w:p w14:paraId="47000000">
      <w:pPr>
        <w:pStyle w:val="Style_3"/>
      </w:pPr>
      <w:r>
        <w:t>ПОЛОЖЕНИЕ</w:t>
      </w:r>
    </w:p>
    <w:p w14:paraId="48000000">
      <w:pPr>
        <w:pStyle w:val="Style_3"/>
        <w:spacing w:after="0"/>
        <w:ind/>
        <w:rPr>
          <w:b w:val="0"/>
        </w:rPr>
      </w:pPr>
      <w:r>
        <w:t xml:space="preserve">о Рабочей группе </w:t>
      </w:r>
      <w:r>
        <w:t xml:space="preserve">Территориальной избирательной комиссии </w:t>
      </w:r>
      <w:r>
        <w:br/>
      </w:r>
      <w:r>
        <w:t xml:space="preserve">города </w:t>
      </w:r>
      <w:r>
        <w:t>Таганрога (западная) Ростовской области</w:t>
      </w:r>
    </w:p>
    <w:p w14:paraId="49000000">
      <w:pPr>
        <w:pStyle w:val="Style_3"/>
        <w:spacing w:after="0"/>
        <w:ind/>
      </w:pPr>
      <w:r>
        <w:t xml:space="preserve">по информационным спорам и иным вопросам </w:t>
      </w:r>
    </w:p>
    <w:p w14:paraId="4A000000">
      <w:pPr>
        <w:pStyle w:val="Style_3"/>
        <w:spacing w:after="0"/>
        <w:ind/>
      </w:pPr>
      <w:r>
        <w:t xml:space="preserve">информационного обеспечения  выборов </w:t>
      </w:r>
    </w:p>
    <w:p w14:paraId="4B000000">
      <w:pPr>
        <w:pStyle w:val="Style_3"/>
        <w:spacing w:after="0"/>
        <w:ind/>
      </w:pPr>
      <w:r>
        <w:t xml:space="preserve">депутатов </w:t>
      </w:r>
      <w:r>
        <w:t xml:space="preserve">Городской Думы города Таганрога восьмого созыва </w:t>
      </w:r>
    </w:p>
    <w:p w14:paraId="4C000000">
      <w:pPr>
        <w:pStyle w:val="Style_3"/>
        <w:spacing w:after="0"/>
        <w:ind/>
      </w:pPr>
    </w:p>
    <w:p w14:paraId="4D000000">
      <w:pPr>
        <w:pStyle w:val="Style_1"/>
        <w:numPr>
          <w:ilvl w:val="0"/>
          <w:numId w:val="2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Положение о Рабочей группе Территориальной избирательной комиссии</w:t>
      </w:r>
      <w:r>
        <w:rPr>
          <w:rFonts w:ascii="Times New Roman" w:hAnsi="Times New Roman"/>
          <w:sz w:val="28"/>
        </w:rPr>
        <w:t xml:space="preserve"> города </w:t>
      </w:r>
      <w:r>
        <w:rPr>
          <w:rFonts w:ascii="Times New Roman" w:hAnsi="Times New Roman"/>
          <w:sz w:val="28"/>
        </w:rPr>
        <w:t>Таганрога (западная) Ростовской области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по информационным спорам и иным вопросам информационного обеспечения  выборов депутатов </w:t>
      </w:r>
      <w:r>
        <w:rPr>
          <w:rFonts w:ascii="Times New Roman" w:hAnsi="Times New Roman"/>
          <w:sz w:val="28"/>
        </w:rPr>
        <w:t xml:space="preserve">Городской Думы города Таганрога восьмого созыва </w:t>
      </w:r>
      <w:r>
        <w:rPr>
          <w:rFonts w:ascii="Times New Roman" w:hAnsi="Times New Roman"/>
          <w:sz w:val="28"/>
        </w:rPr>
        <w:t xml:space="preserve">определяет порядок и формы деятельности Рабочей группы Территориальной избирательной комиссии города </w:t>
      </w:r>
      <w:r>
        <w:rPr>
          <w:rFonts w:ascii="Times New Roman" w:hAnsi="Times New Roman"/>
          <w:sz w:val="28"/>
        </w:rPr>
        <w:t>Таганрога (западная) Ростовской области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по информационным спорам и иным вопросам информационного обеспечения  выборов депутатов </w:t>
      </w:r>
      <w:r>
        <w:rPr>
          <w:rFonts w:ascii="Times New Roman" w:hAnsi="Times New Roman"/>
          <w:sz w:val="28"/>
        </w:rPr>
        <w:t xml:space="preserve">Городской Думы города Таганрога восьмого созыва  </w:t>
      </w:r>
      <w:r>
        <w:rPr>
          <w:rFonts w:ascii="Times New Roman" w:hAnsi="Times New Roman"/>
          <w:sz w:val="28"/>
        </w:rPr>
        <w:t>(далее – Рабочая группа).</w:t>
      </w:r>
    </w:p>
    <w:p w14:paraId="4E000000">
      <w:pPr>
        <w:pStyle w:val="Style_1"/>
        <w:numPr>
          <w:ilvl w:val="0"/>
          <w:numId w:val="2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Рабочая группа образуется из числа членов Территориальной избирательной комиссии </w:t>
      </w:r>
      <w:r>
        <w:rPr>
          <w:rFonts w:ascii="Times New Roman" w:hAnsi="Times New Roman"/>
          <w:sz w:val="28"/>
        </w:rPr>
        <w:t xml:space="preserve">города </w:t>
      </w:r>
      <w:r>
        <w:rPr>
          <w:rFonts w:ascii="Times New Roman" w:hAnsi="Times New Roman"/>
          <w:sz w:val="28"/>
        </w:rPr>
        <w:t xml:space="preserve">Таганрога (западная) Ростовской области </w:t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далее</w:t>
      </w:r>
      <w:r>
        <w:rPr>
          <w:rFonts w:ascii="Times New Roman" w:hAnsi="Times New Roman"/>
          <w:sz w:val="28"/>
        </w:rPr>
        <w:t xml:space="preserve"> - </w:t>
      </w:r>
      <w:r>
        <w:rPr>
          <w:rFonts w:ascii="Times New Roman" w:hAnsi="Times New Roman"/>
          <w:sz w:val="28"/>
        </w:rPr>
        <w:t>Комиссия)</w:t>
      </w:r>
      <w:r>
        <w:rPr>
          <w:rFonts w:ascii="Times New Roman" w:hAnsi="Times New Roman"/>
          <w:sz w:val="28"/>
        </w:rPr>
        <w:t>, представителей государственных органов, общественных объединений, организаций, осуществляющих выпуск средств массовой информации,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работников избирательных комиссий, ученых и специалистов, а также привлеченных по гражданско-правовому договору граждан.</w:t>
      </w:r>
    </w:p>
    <w:p w14:paraId="4F000000">
      <w:pPr>
        <w:pStyle w:val="Style_1"/>
        <w:numPr>
          <w:ilvl w:val="0"/>
          <w:numId w:val="2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Положение о</w:t>
      </w:r>
      <w:r>
        <w:rPr>
          <w:rFonts w:ascii="Times New Roman" w:hAnsi="Times New Roman"/>
          <w:sz w:val="28"/>
        </w:rPr>
        <w:t xml:space="preserve"> Рабочей групп</w:t>
      </w:r>
      <w:r>
        <w:rPr>
          <w:rFonts w:ascii="Times New Roman" w:hAnsi="Times New Roman"/>
          <w:sz w:val="28"/>
        </w:rPr>
        <w:t xml:space="preserve">е, ее состав и руководитель </w:t>
      </w:r>
      <w:r>
        <w:rPr>
          <w:rFonts w:ascii="Times New Roman" w:hAnsi="Times New Roman"/>
          <w:sz w:val="28"/>
        </w:rPr>
        <w:t>утвержда</w:t>
      </w:r>
      <w:r>
        <w:rPr>
          <w:rFonts w:ascii="Times New Roman" w:hAnsi="Times New Roman"/>
          <w:sz w:val="28"/>
        </w:rPr>
        <w:t>ю</w:t>
      </w:r>
      <w:r>
        <w:rPr>
          <w:rFonts w:ascii="Times New Roman" w:hAnsi="Times New Roman"/>
          <w:sz w:val="28"/>
        </w:rPr>
        <w:t xml:space="preserve">тся </w:t>
      </w:r>
      <w:r>
        <w:rPr>
          <w:rFonts w:ascii="Times New Roman" w:hAnsi="Times New Roman"/>
          <w:sz w:val="28"/>
        </w:rPr>
        <w:t>постановлениями Коми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>сии</w:t>
      </w:r>
      <w:r>
        <w:rPr>
          <w:rFonts w:ascii="Times New Roman" w:hAnsi="Times New Roman"/>
          <w:sz w:val="28"/>
        </w:rPr>
        <w:t>.</w:t>
      </w:r>
    </w:p>
    <w:p w14:paraId="50000000">
      <w:pPr>
        <w:pStyle w:val="Style_1"/>
        <w:numPr>
          <w:ilvl w:val="0"/>
          <w:numId w:val="2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Рабочая группа в своей деятельности руководствуется Конституцией Российской Федерации, федеральными и областными законами, иными нормативными правовыми актами Российской Федерации и Ростовской области, муниципальными правовыми актами, нормативными актами Центральной избирательной комиссии Российской Федерации, Избирательной комиссии Ростовской области,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правовыми актами Комиссии, а также настоящим Положением.</w:t>
      </w:r>
    </w:p>
    <w:p w14:paraId="51000000">
      <w:pPr>
        <w:pStyle w:val="Style_1"/>
        <w:numPr>
          <w:ilvl w:val="0"/>
          <w:numId w:val="2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Деятельность Рабочей группы осуществляется на основе коллегиальности, открытого об</w:t>
      </w:r>
      <w:r>
        <w:rPr>
          <w:rFonts w:ascii="Times New Roman" w:hAnsi="Times New Roman"/>
          <w:sz w:val="28"/>
        </w:rPr>
        <w:t xml:space="preserve">суждения вопросов, относящихся </w:t>
      </w:r>
      <w:r>
        <w:rPr>
          <w:rFonts w:ascii="Times New Roman" w:hAnsi="Times New Roman"/>
          <w:sz w:val="28"/>
        </w:rPr>
        <w:t>к ее компетенции.</w:t>
      </w:r>
    </w:p>
    <w:p w14:paraId="52000000">
      <w:pPr>
        <w:pStyle w:val="Style_1"/>
        <w:numPr>
          <w:ilvl w:val="0"/>
          <w:numId w:val="2"/>
        </w:num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компетенцию Рабочей группы входят:</w:t>
      </w:r>
    </w:p>
    <w:p w14:paraId="53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сбор и систематизация уведомлений о готовности предоставить эфирное время, печатную площадь, услуги по размещению предвыборных агитационных материалов в сетевых изданиях, а также сведений о размере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и других условиях их оплаты, представленных организациями телерадиовещания, редакциями периодических печатных изданий, редакциями сетевых изданий в </w:t>
      </w:r>
      <w:r>
        <w:rPr>
          <w:rFonts w:ascii="Times New Roman" w:hAnsi="Times New Roman"/>
          <w:sz w:val="28"/>
        </w:rPr>
        <w:t>Комиссию</w:t>
      </w:r>
      <w:r>
        <w:rPr>
          <w:rFonts w:ascii="Times New Roman" w:hAnsi="Times New Roman"/>
          <w:sz w:val="28"/>
        </w:rPr>
        <w:t xml:space="preserve"> в порядке, установленном федеральным и областным законодательством о выборах;</w:t>
      </w:r>
    </w:p>
    <w:p w14:paraId="54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сбор и систематизация сведений о размере и других условиях оплаты работ по изготовлению печатных агитационных материалов, представленных организациями, индивидуальными предпринимателями, выполняющими работы (оказывающими услуги) по изготовлению печатных агитационных материалов </w:t>
      </w:r>
      <w:r>
        <w:rPr>
          <w:rFonts w:ascii="Times New Roman" w:hAnsi="Times New Roman"/>
          <w:sz w:val="28"/>
        </w:rPr>
        <w:t>в Комиссию</w:t>
      </w:r>
      <w:r>
        <w:rPr>
          <w:rFonts w:ascii="Times New Roman" w:hAnsi="Times New Roman"/>
          <w:sz w:val="28"/>
        </w:rPr>
        <w:t xml:space="preserve">, в порядке, установленном федеральным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 областным законодательством о выборах;</w:t>
      </w:r>
    </w:p>
    <w:p w14:paraId="55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сбор и систематизация экземпляров печатных предвыборных агитационных материалов или их копий, экземпляров или копий аудиовизуальных предвыборных агитационных материалов, фотографий, экземпляров или копий иных предвыборных агитационных материалов,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представленных </w:t>
      </w:r>
      <w:r>
        <w:rPr>
          <w:rFonts w:ascii="Times New Roman" w:hAnsi="Times New Roman"/>
          <w:sz w:val="28"/>
        </w:rPr>
        <w:t xml:space="preserve">в Комиссию </w:t>
      </w:r>
      <w:r>
        <w:rPr>
          <w:rFonts w:ascii="Times New Roman" w:hAnsi="Times New Roman"/>
          <w:sz w:val="28"/>
        </w:rPr>
        <w:t xml:space="preserve">в порядке, установленном федеральным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 областным законодательством о выборах;</w:t>
      </w:r>
    </w:p>
    <w:p w14:paraId="56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сбор, систематизация и размещение на сайте </w:t>
      </w:r>
      <w:r>
        <w:rPr>
          <w:rFonts w:ascii="Times New Roman" w:hAnsi="Times New Roman"/>
          <w:sz w:val="28"/>
        </w:rPr>
        <w:t xml:space="preserve">Комиссии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в информационно-телекоммуникационной сети «Интернет» информации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о фактах предоставления помещений зарегистрированным кандидатам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в соответствии с пунктами 4, 4</w:t>
      </w:r>
      <w:r>
        <w:rPr>
          <w:rFonts w:ascii="Times New Roman" w:hAnsi="Times New Roman"/>
          <w:sz w:val="28"/>
          <w:vertAlign w:val="superscript"/>
        </w:rPr>
        <w:t>1</w:t>
      </w:r>
      <w:r>
        <w:rPr>
          <w:rFonts w:ascii="Times New Roman" w:hAnsi="Times New Roman"/>
          <w:sz w:val="28"/>
        </w:rPr>
        <w:t xml:space="preserve"> статьи 53 Федерального закона </w:t>
      </w:r>
      <w:r>
        <w:rPr>
          <w:rFonts w:ascii="Times New Roman" w:hAnsi="Times New Roman"/>
          <w:sz w:val="28"/>
        </w:rPr>
        <w:t xml:space="preserve">                                   </w:t>
      </w:r>
      <w:r>
        <w:rPr>
          <w:rFonts w:ascii="Times New Roman" w:hAnsi="Times New Roman"/>
          <w:sz w:val="28"/>
        </w:rPr>
        <w:t>от 02.06.2002 № 67-ФЗ «Об основных гарантиях избирательных прав и права на участие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референдуме граждан Российской Федерации»;</w:t>
      </w:r>
    </w:p>
    <w:p w14:paraId="57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размещение на сайте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>омиссии в информационно-телекоммуникационной сети «Интернет»:</w:t>
      </w:r>
    </w:p>
    <w:p w14:paraId="58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– перечня муниципальных организаций телерадиовещания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 муниципальных периодических печатных изданий, представленного территориальным органом федерального органа исполнительной власти, уполномоченного на осуществление функций по регистрации средств массовой информации;</w:t>
      </w:r>
    </w:p>
    <w:p w14:paraId="59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обобщенных сведений о поступивших уведомлениях организаций телерадиовещания о готовности предоставлять эфирное время;</w:t>
      </w:r>
    </w:p>
    <w:p w14:paraId="5A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обобщенных сведений о поступивших уведомлениях редакций периодических печатных изданий о готовности предоставлять печатную площадь;</w:t>
      </w:r>
    </w:p>
    <w:p w14:paraId="5B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изданиях;</w:t>
      </w:r>
    </w:p>
    <w:p w14:paraId="5C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обобщенных сведений о поступивших уведомлениях организаций, индивидуальных предпринимателей о готовности выполнять работы (оказывать услуги) по изготовлению печатных предвыборных агитационных материалов;</w:t>
      </w:r>
    </w:p>
    <w:p w14:paraId="5D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– графиков распределения эфирного времени, протоколов жеребьевок по распределению печатной площади;</w:t>
      </w:r>
    </w:p>
    <w:p w14:paraId="5E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рассмотрение во взаимодействии с контрольно-ревизионной службой при </w:t>
      </w:r>
      <w:r>
        <w:rPr>
          <w:rFonts w:ascii="Times New Roman" w:hAnsi="Times New Roman"/>
          <w:sz w:val="28"/>
        </w:rPr>
        <w:t xml:space="preserve"> Комиссии </w:t>
      </w:r>
      <w:r>
        <w:rPr>
          <w:rFonts w:ascii="Times New Roman" w:hAnsi="Times New Roman"/>
          <w:sz w:val="28"/>
        </w:rPr>
        <w:t xml:space="preserve">экземпляров печатных предвыборных агитационных материалов или их копий, экземпляров или копий аудиовизуальных предвыборных агитационных материалов, фотографий, экземпляров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или копий иных предвыборных агитационных материалов, представленных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в Комиссию</w:t>
      </w:r>
      <w:r>
        <w:rPr>
          <w:rFonts w:ascii="Times New Roman" w:hAnsi="Times New Roman"/>
          <w:sz w:val="28"/>
        </w:rPr>
        <w:t xml:space="preserve">, в порядке, установленном федеральным и областным законодательством о выборах, на предмет их соответствия федеральному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 областному законодательству о выборах, а также подготовка соответствующих заключений;</w:t>
      </w:r>
    </w:p>
    <w:p w14:paraId="5F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рассмотрение вопросов, касающихся публикаций результатов опросов общественного мнения, связанных с выборами в федеральные органы государственной власти, органы государственной власти Ростовской области, представительных органов муниципальных образований Ростовской области;</w:t>
      </w:r>
    </w:p>
    <w:p w14:paraId="60000000">
      <w:pPr>
        <w:pStyle w:val="Style_1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предварительное рассмотрение обращений о нарушениях положений федеральных и областных законов, регулирующих информирование избирателей, проведение предвыборной агитации;</w:t>
      </w:r>
    </w:p>
    <w:p w14:paraId="61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подготовка проектов представлений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 xml:space="preserve">омиссии  о пресечении противоправной агитационной деятельности и привлечении виновных лиц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к ответственности, установленной законодательством Российской Федерации;</w:t>
      </w:r>
    </w:p>
    <w:p w14:paraId="62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сбор и систематизация материалов о нарушениях федерального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 областного законодательства, регулирующего порядок информирования избирателей и проведения предвыборной агитации, допущенных избирательными объединениями, кандидатами, организациями телерадиовещания, редакциями периодических печатных изданий, редакциями сетевых изданий, иными лицами в ходе избирательных кампаний по выборам в федеральные органы государственной власти, органы государственной власти Ростовской области, представительные органы муниципальных образований,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подготовка и принятие соответствующих заключений (решений) Рабочей группы;</w:t>
      </w:r>
    </w:p>
    <w:p w14:paraId="63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 xml:space="preserve">рассмотрение полученных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 xml:space="preserve">омиссией 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периодических печатных изданий, редакций сетевых изданий, общественных объединений, их должностных лиц, сведений и материалов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по вопросам компетенции Рабочей группы;</w:t>
      </w:r>
    </w:p>
    <w:p w14:paraId="64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иные вопросы, связанные с нарушением законодательства Российской Федерации о выборах.</w:t>
      </w:r>
    </w:p>
    <w:p w14:paraId="65000000">
      <w:pPr>
        <w:pStyle w:val="Style_1"/>
        <w:numPr>
          <w:ilvl w:val="0"/>
          <w:numId w:val="2"/>
        </w:numPr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Рабочей группы созывает руководитель Рабочей группы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(в случае его отсутствия – заместитель руководителя Рабочей группы). Заседание Рабочей группы созывается по мере необходимости. </w:t>
      </w:r>
    </w:p>
    <w:p w14:paraId="66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14:paraId="67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Деятельность Рабочей группы осуществляется на основе открытого обсуждения вопросов, относящихся к ее компетенции.</w:t>
      </w:r>
    </w:p>
    <w:p w14:paraId="68000000">
      <w:pPr>
        <w:pStyle w:val="Style_1"/>
        <w:numPr>
          <w:ilvl w:val="0"/>
          <w:numId w:val="2"/>
        </w:numPr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заседаниях Рабочей группы вправе пр</w:t>
      </w:r>
      <w:r>
        <w:rPr>
          <w:rFonts w:ascii="Times New Roman" w:hAnsi="Times New Roman"/>
          <w:sz w:val="28"/>
        </w:rPr>
        <w:t xml:space="preserve">исутствовать и высказывать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свое </w:t>
      </w:r>
      <w:r>
        <w:rPr>
          <w:rFonts w:ascii="Times New Roman" w:hAnsi="Times New Roman"/>
          <w:sz w:val="28"/>
        </w:rPr>
        <w:t xml:space="preserve">мнение члены вышестоящих избирательных комиссий и работники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их аппаратов, члены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>омиссии  с правом решающего голоса, не являющиеся</w:t>
      </w:r>
      <w:r>
        <w:rPr>
          <w:rFonts w:ascii="Times New Roman" w:hAnsi="Times New Roman"/>
          <w:sz w:val="28"/>
        </w:rPr>
        <w:t xml:space="preserve"> членами Рабочей группы</w:t>
      </w:r>
      <w:r>
        <w:rPr>
          <w:rFonts w:ascii="Times New Roman" w:hAnsi="Times New Roman"/>
          <w:sz w:val="28"/>
        </w:rPr>
        <w:t>.</w:t>
      </w:r>
    </w:p>
    <w:p w14:paraId="69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заседании Рабочей группы вправе принимать участие заявители, лица, чьи (чье) действия (бездействие) явились (явилось) основанием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</w:t>
      </w:r>
    </w:p>
    <w:p w14:paraId="6A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рассмотрения выносимых на заседание Рабочей группы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и подписывается руководителем Рабочей группы либо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его заместителем накануне очередного заседания.</w:t>
      </w:r>
    </w:p>
    <w:p w14:paraId="6B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 времени и месте заседания Рабочей группы </w:t>
      </w:r>
      <w:r>
        <w:rPr>
          <w:rFonts w:ascii="Times New Roman" w:hAnsi="Times New Roman"/>
          <w:sz w:val="28"/>
        </w:rPr>
        <w:t xml:space="preserve">в обязательном порядке </w:t>
      </w:r>
      <w:r>
        <w:rPr>
          <w:rFonts w:ascii="Times New Roman" w:hAnsi="Times New Roman"/>
          <w:sz w:val="28"/>
        </w:rPr>
        <w:t xml:space="preserve">извещаются члены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>омиссии  с правом решающего голоса.</w:t>
      </w:r>
    </w:p>
    <w:p w14:paraId="6C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Руководитель Рабочей группы дает поручения, касающиеся подготовки материалов к заседанию Рабочей группы, оповещения ее членов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и приглашенных лиц о времени и месте заседания Рабочей группы, организует делопроизводство в Рабочей группе, председательствует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на ее заседаниях.</w:t>
      </w:r>
    </w:p>
    <w:p w14:paraId="6D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его заместитель,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а в случае его отсутствия – иной уполномоченный на то член Рабочей группы из числа членов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>омиссии  с правом решающего голоса.</w:t>
      </w:r>
    </w:p>
    <w:p w14:paraId="6E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14:paraId="6F000000">
      <w:pPr>
        <w:pStyle w:val="Style_1"/>
        <w:numPr>
          <w:ilvl w:val="0"/>
          <w:numId w:val="2"/>
        </w:numPr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Поступившие в 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 xml:space="preserve">омиссию обращения и иные документы рассматриваются на заседаниях Рабочей группы по поручению председателя, а в его отсутствие – заместителя председателя </w:t>
      </w:r>
      <w:r>
        <w:rPr>
          <w:rFonts w:ascii="Times New Roman" w:hAnsi="Times New Roman"/>
          <w:sz w:val="28"/>
        </w:rPr>
        <w:t>Комиссии.</w:t>
      </w:r>
    </w:p>
    <w:p w14:paraId="70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Подготовка к заседаниям Рабочей группы ведется в соответствии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с поручениями руководителя Рабочей группы членом рабочей группы, ответственным за подготовку конкретного вопроса, а также другими членами Рабочей группы, привлекаемыми специалистами. К заседанию Рабочей группы готовятся документы, необходимые для рассмотрения обращений,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 иные документы, проект решения Рабочей группы по рассматриваемому обращению или иному документу, а в необходимых случаях – заключения специалистов.</w:t>
      </w:r>
    </w:p>
    <w:p w14:paraId="71000000">
      <w:pPr>
        <w:pStyle w:val="Style_1"/>
        <w:numPr>
          <w:ilvl w:val="0"/>
          <w:numId w:val="2"/>
        </w:numPr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Срок рассмотрения обращений, поступающих в Рабочую группу, определяется в соответствии с действующим законодательством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 правовыми актами Комиссии</w:t>
      </w:r>
      <w:r>
        <w:rPr>
          <w:rFonts w:ascii="Times New Roman" w:hAnsi="Times New Roman"/>
          <w:sz w:val="28"/>
        </w:rPr>
        <w:t>.</w:t>
      </w:r>
    </w:p>
    <w:p w14:paraId="72000000">
      <w:pPr>
        <w:pStyle w:val="Style_1"/>
        <w:numPr>
          <w:ilvl w:val="0"/>
          <w:numId w:val="2"/>
        </w:numPr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заседании Рабочей группы ведется протокол, а при необходимости – аудиозапись. Протокол ведет секретарь Рабочей группы,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а в его отсутствие – иное лицо, назначенное председательствующим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на заседании Рабочей группы из числа членов Рабочей группы. Протокол подписывают председательствующий на заседании Рабочей группы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 секретарь Рабочей группы</w:t>
      </w:r>
      <w:r>
        <w:rPr>
          <w:rFonts w:ascii="Times New Roman" w:hAnsi="Times New Roman"/>
          <w:sz w:val="28"/>
        </w:rPr>
        <w:t>.</w:t>
      </w:r>
    </w:p>
    <w:p w14:paraId="73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результатам рассмотрения каждого вопроса на заседании Рабочей группы принимается решение Рабочей группы, которое подписывается руководителем Рабочей группы и секретарем заседания.</w:t>
      </w:r>
    </w:p>
    <w:p w14:paraId="74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 </w:t>
      </w:r>
    </w:p>
    <w:p w14:paraId="75000000">
      <w:pPr>
        <w:pStyle w:val="Style_1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Член Рабочей группы не принимает участия в голосовании,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если предметом рассмотрения Рабочей группы является обращение в связи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с действием (бездействием) организации, осуществляющей выпуск средств массовой информации, представителем которой он является. В этом случае указанный член Рабочей группы не учитывается при определении установленного числа членов Рабочей группы и числа присутствующих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на заседании членов Рабочей группы.</w:t>
      </w:r>
    </w:p>
    <w:p w14:paraId="76000000">
      <w:pPr>
        <w:pStyle w:val="Style_1"/>
        <w:numPr>
          <w:ilvl w:val="0"/>
          <w:numId w:val="2"/>
        </w:numPr>
        <w:ind w:firstLine="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Обращения, касающиеся нарушений законодательства о выборах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и референдумах в ходе информирования избирателей при проведении предвыборной агитации, агитации по вопросам референдума, копии ответов на эти обращения, а также предоставленные организациями телерадиовещания, редакциями периодических печатных изданий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 редакциями сетевых изданий сведения о размере и других условиях оплаты эфирного времени, печатной площади и услуг по размещению агитационных материалов в сетевом издании, уведомления о готовности предоставить эфирное время, печатную площадь и услуги по размещению агитационных материалов в сетевом издании кандидатам, избирательным объединениям, инициативной группе по проведению референдума и иным группам участников референдума, обращения о порядке применения законодательства в ходе информирования избирателей при проведении предвыборной агитации, агитации по вопросам референдума, другие документы передаются исполнителями на хранение в порядке, установленном Комиссией.</w:t>
      </w:r>
    </w:p>
    <w:p w14:paraId="77000000">
      <w:pPr>
        <w:pStyle w:val="Style_3"/>
        <w:spacing w:after="0"/>
        <w:ind/>
        <w:jc w:val="left"/>
      </w:pPr>
    </w:p>
    <w:p w14:paraId="78000000">
      <w:pPr>
        <w:widowControl w:val="0"/>
        <w:ind w:firstLine="0" w:left="5954"/>
        <w:jc w:val="center"/>
        <w:rPr>
          <w:sz w:val="24"/>
        </w:rPr>
      </w:pPr>
    </w:p>
    <w:p w14:paraId="79000000">
      <w:pPr>
        <w:widowControl w:val="0"/>
        <w:ind w:firstLine="0" w:left="5954"/>
        <w:jc w:val="center"/>
        <w:rPr>
          <w:sz w:val="24"/>
        </w:rPr>
      </w:pPr>
    </w:p>
    <w:p w14:paraId="7A000000">
      <w:pPr>
        <w:widowControl w:val="0"/>
        <w:ind w:firstLine="0" w:left="5954"/>
        <w:jc w:val="center"/>
        <w:rPr>
          <w:sz w:val="24"/>
        </w:rPr>
      </w:pPr>
    </w:p>
    <w:p w14:paraId="7B000000">
      <w:pPr>
        <w:widowControl w:val="0"/>
        <w:ind w:firstLine="0" w:left="5954"/>
        <w:jc w:val="center"/>
        <w:rPr>
          <w:sz w:val="24"/>
        </w:rPr>
      </w:pPr>
    </w:p>
    <w:p w14:paraId="7C000000">
      <w:pPr>
        <w:widowControl w:val="0"/>
        <w:ind w:firstLine="0" w:left="5954"/>
        <w:jc w:val="center"/>
        <w:rPr>
          <w:sz w:val="24"/>
        </w:rPr>
      </w:pPr>
    </w:p>
    <w:p w14:paraId="7D000000">
      <w:pPr>
        <w:widowControl w:val="0"/>
        <w:ind w:firstLine="0" w:left="5954"/>
        <w:jc w:val="center"/>
        <w:rPr>
          <w:sz w:val="24"/>
        </w:rPr>
      </w:pPr>
    </w:p>
    <w:p w14:paraId="7E000000">
      <w:pPr>
        <w:widowControl w:val="0"/>
        <w:ind w:firstLine="0" w:left="5954"/>
        <w:jc w:val="center"/>
        <w:rPr>
          <w:sz w:val="24"/>
        </w:rPr>
      </w:pPr>
    </w:p>
    <w:p w14:paraId="7F000000">
      <w:pPr>
        <w:widowControl w:val="0"/>
        <w:ind w:firstLine="0" w:left="5954"/>
        <w:jc w:val="center"/>
        <w:rPr>
          <w:sz w:val="24"/>
        </w:rPr>
      </w:pPr>
    </w:p>
    <w:p w14:paraId="80000000">
      <w:pPr>
        <w:widowControl w:val="0"/>
        <w:ind w:firstLine="0" w:left="5954"/>
        <w:jc w:val="center"/>
        <w:rPr>
          <w:sz w:val="24"/>
        </w:rPr>
      </w:pPr>
    </w:p>
    <w:p w14:paraId="81000000">
      <w:pPr>
        <w:widowControl w:val="0"/>
        <w:ind w:firstLine="0" w:left="5954"/>
        <w:jc w:val="center"/>
        <w:rPr>
          <w:sz w:val="24"/>
        </w:rPr>
      </w:pPr>
      <w:r>
        <w:rPr>
          <w:sz w:val="24"/>
        </w:rPr>
        <w:t xml:space="preserve">Приложение № </w:t>
      </w:r>
      <w:r>
        <w:rPr>
          <w:sz w:val="24"/>
        </w:rPr>
        <w:t>2</w:t>
      </w:r>
    </w:p>
    <w:p w14:paraId="82000000">
      <w:pPr>
        <w:widowControl w:val="0"/>
        <w:ind w:firstLine="0" w:left="5954"/>
        <w:jc w:val="center"/>
        <w:rPr>
          <w:sz w:val="24"/>
        </w:rPr>
      </w:pPr>
    </w:p>
    <w:p w14:paraId="83000000">
      <w:pPr>
        <w:widowControl w:val="0"/>
        <w:ind w:firstLine="0" w:left="5954"/>
        <w:jc w:val="center"/>
        <w:rPr>
          <w:sz w:val="24"/>
        </w:rPr>
      </w:pPr>
      <w:r>
        <w:rPr>
          <w:sz w:val="24"/>
        </w:rPr>
        <w:t>УТВЕРЖДЕН</w:t>
      </w:r>
    </w:p>
    <w:p w14:paraId="84000000">
      <w:pPr>
        <w:widowControl w:val="0"/>
        <w:ind w:firstLine="0" w:left="5954"/>
        <w:jc w:val="center"/>
        <w:rPr>
          <w:sz w:val="24"/>
        </w:rPr>
      </w:pPr>
      <w:r>
        <w:rPr>
          <w:sz w:val="24"/>
        </w:rPr>
        <w:t xml:space="preserve">постановлением </w:t>
      </w:r>
      <w:r>
        <w:rPr>
          <w:sz w:val="24"/>
        </w:rPr>
        <w:t>Территориальной и</w:t>
      </w:r>
      <w:r>
        <w:rPr>
          <w:sz w:val="24"/>
        </w:rPr>
        <w:t xml:space="preserve">збирательной комиссии </w:t>
      </w:r>
      <w:r>
        <w:rPr>
          <w:sz w:val="24"/>
        </w:rPr>
        <w:t>города Таганрога (западная) Ростовской области</w:t>
      </w:r>
      <w:r>
        <w:rPr>
          <w:sz w:val="24"/>
        </w:rPr>
        <w:t xml:space="preserve"> </w:t>
      </w:r>
      <w:r>
        <w:rPr>
          <w:sz w:val="24"/>
        </w:rPr>
        <w:br/>
      </w:r>
      <w:r>
        <w:rPr>
          <w:sz w:val="24"/>
        </w:rPr>
        <w:t>от 19.06.2024</w:t>
      </w:r>
      <w:r>
        <w:rPr>
          <w:sz w:val="24"/>
        </w:rPr>
        <w:t xml:space="preserve"> № 93-10</w:t>
      </w:r>
    </w:p>
    <w:p w14:paraId="85000000">
      <w:pPr>
        <w:widowControl w:val="0"/>
        <w:ind/>
        <w:jc w:val="right"/>
      </w:pPr>
    </w:p>
    <w:p w14:paraId="86000000">
      <w:pPr>
        <w:ind/>
        <w:jc w:val="center"/>
        <w:rPr>
          <w:b w:val="1"/>
        </w:rPr>
      </w:pPr>
      <w:r>
        <w:rPr>
          <w:b w:val="1"/>
        </w:rPr>
        <w:t>СОСТАВ</w:t>
      </w:r>
    </w:p>
    <w:p w14:paraId="87000000">
      <w:pPr>
        <w:ind/>
        <w:jc w:val="center"/>
        <w:rPr>
          <w:b w:val="1"/>
        </w:rPr>
      </w:pPr>
      <w:r>
        <w:rPr>
          <w:b w:val="1"/>
        </w:rPr>
        <w:t xml:space="preserve">Рабочей группы </w:t>
      </w:r>
      <w:r>
        <w:rPr>
          <w:b w:val="1"/>
        </w:rPr>
        <w:t>Территориальной и</w:t>
      </w:r>
      <w:r>
        <w:rPr>
          <w:b w:val="1"/>
        </w:rPr>
        <w:t xml:space="preserve">збирательной комиссии </w:t>
      </w:r>
      <w:r>
        <w:rPr>
          <w:b w:val="1"/>
        </w:rPr>
        <w:br/>
      </w:r>
      <w:r>
        <w:rPr>
          <w:b w:val="1"/>
        </w:rPr>
        <w:t xml:space="preserve">города </w:t>
      </w:r>
      <w:r>
        <w:rPr>
          <w:b w:val="1"/>
        </w:rPr>
        <w:t>Таганрога (западная) Ростовской области</w:t>
      </w:r>
    </w:p>
    <w:p w14:paraId="88000000">
      <w:pPr>
        <w:ind/>
        <w:jc w:val="center"/>
        <w:rPr>
          <w:b w:val="1"/>
        </w:rPr>
      </w:pPr>
      <w:r>
        <w:rPr>
          <w:b w:val="1"/>
        </w:rPr>
        <w:t xml:space="preserve">по информационным спорам и иным вопросам информационного обеспечения  выборов депутатов </w:t>
      </w:r>
      <w:r>
        <w:rPr>
          <w:b w:val="1"/>
        </w:rPr>
        <w:t xml:space="preserve">Городской Думы </w:t>
      </w:r>
      <w:r>
        <w:rPr>
          <w:b w:val="1"/>
        </w:rPr>
        <w:br/>
      </w:r>
      <w:r>
        <w:rPr>
          <w:b w:val="1"/>
        </w:rPr>
        <w:t xml:space="preserve">города Таганрога восьмого созыва </w:t>
      </w:r>
      <w:r>
        <w:rPr>
          <w:b w:val="1"/>
        </w:rPr>
        <w:br/>
      </w:r>
    </w:p>
    <w:p w14:paraId="89000000">
      <w:pPr>
        <w:ind/>
        <w:jc w:val="center"/>
        <w:rPr>
          <w:b w:val="1"/>
        </w:rPr>
      </w:pPr>
    </w:p>
    <w:p w14:paraId="8A000000">
      <w:pPr>
        <w:ind/>
        <w:jc w:val="center"/>
        <w:rPr>
          <w:b w:val="1"/>
        </w:rPr>
      </w:pPr>
      <w:r>
        <w:rPr>
          <w:b w:val="1"/>
        </w:rPr>
        <w:t>Руководитель Рабочей группы:</w:t>
      </w:r>
    </w:p>
    <w:tbl>
      <w:tblPr>
        <w:tblStyle w:val="Style_2"/>
        <w:tblW w:type="auto" w:w="0"/>
        <w:tblLayout w:type="fixed"/>
      </w:tblPr>
      <w:tblGrid>
        <w:gridCol w:w="3431"/>
        <w:gridCol w:w="5925"/>
      </w:tblGrid>
      <w:tr>
        <w:tc>
          <w:tcPr>
            <w:tcW w:type="dxa" w:w="3431"/>
            <w:shd w:fill="auto" w:val="clear"/>
          </w:tcPr>
          <w:p w14:paraId="8B000000">
            <w:pPr>
              <w:ind/>
              <w:jc w:val="both"/>
              <w:rPr>
                <w:b w:val="1"/>
              </w:rPr>
            </w:pPr>
            <w:r>
              <w:rPr>
                <w:b w:val="1"/>
              </w:rPr>
              <w:t>Кочиева Надежда Николаевна</w:t>
            </w:r>
          </w:p>
        </w:tc>
        <w:tc>
          <w:tcPr>
            <w:tcW w:type="dxa" w:w="5925"/>
            <w:shd w:fill="auto" w:val="clear"/>
          </w:tcPr>
          <w:p w14:paraId="8C000000">
            <w:pPr>
              <w:ind/>
              <w:jc w:val="both"/>
              <w:rPr>
                <w:b w:val="1"/>
              </w:rPr>
            </w:pPr>
            <w:r>
              <w:t xml:space="preserve">– зам.председателя </w:t>
            </w:r>
            <w:r>
              <w:t>Территориальной избирательной комиссии города Таганрога (западная) Ростовской области с правом решающего голоса</w:t>
            </w:r>
          </w:p>
        </w:tc>
      </w:tr>
    </w:tbl>
    <w:p w14:paraId="8D000000">
      <w:pPr>
        <w:ind/>
        <w:jc w:val="center"/>
        <w:rPr>
          <w:b w:val="1"/>
        </w:rPr>
      </w:pPr>
    </w:p>
    <w:p w14:paraId="8E000000">
      <w:pPr>
        <w:ind/>
        <w:jc w:val="center"/>
        <w:rPr>
          <w:b w:val="1"/>
        </w:rPr>
      </w:pPr>
      <w:r>
        <w:rPr>
          <w:b w:val="1"/>
        </w:rPr>
        <w:t>Заместитель руководителя Рабочей группы:</w:t>
      </w:r>
    </w:p>
    <w:tbl>
      <w:tblPr>
        <w:tblStyle w:val="Style_2"/>
        <w:tblW w:type="auto" w:w="0"/>
        <w:tblLayout w:type="fixed"/>
      </w:tblPr>
      <w:tblGrid>
        <w:gridCol w:w="3510"/>
        <w:gridCol w:w="6061"/>
      </w:tblGrid>
      <w:tr>
        <w:tc>
          <w:tcPr>
            <w:tcW w:type="dxa" w:w="3510"/>
            <w:shd w:fill="auto" w:val="clear"/>
          </w:tcPr>
          <w:p w14:paraId="8F000000">
            <w:pPr>
              <w:ind/>
              <w:jc w:val="both"/>
              <w:rPr>
                <w:b w:val="1"/>
              </w:rPr>
            </w:pPr>
            <w:r>
              <w:rPr>
                <w:b w:val="1"/>
              </w:rPr>
              <w:t>Турик Людмила Андреевна</w:t>
            </w:r>
          </w:p>
        </w:tc>
        <w:tc>
          <w:tcPr>
            <w:tcW w:type="dxa" w:w="6061"/>
            <w:shd w:fill="auto" w:val="clear"/>
          </w:tcPr>
          <w:p w14:paraId="90000000">
            <w:pPr>
              <w:ind/>
              <w:jc w:val="both"/>
              <w:rPr>
                <w:b w:val="1"/>
              </w:rPr>
            </w:pPr>
            <w:r>
              <w:t xml:space="preserve">– член </w:t>
            </w:r>
            <w:r>
              <w:t>Территориальной избирательной комиссии города Таганрога (западная) Ростовской области с правом решающего голоса</w:t>
            </w:r>
          </w:p>
        </w:tc>
      </w:tr>
    </w:tbl>
    <w:p w14:paraId="91000000">
      <w:pPr>
        <w:ind/>
        <w:jc w:val="center"/>
        <w:rPr>
          <w:b w:val="1"/>
        </w:rPr>
      </w:pPr>
    </w:p>
    <w:p w14:paraId="92000000">
      <w:pPr>
        <w:ind/>
        <w:jc w:val="center"/>
        <w:rPr>
          <w:b w:val="1"/>
        </w:rPr>
      </w:pPr>
      <w:r>
        <w:rPr>
          <w:b w:val="1"/>
        </w:rPr>
        <w:t>Секретарь Рабочей группы:</w:t>
      </w:r>
    </w:p>
    <w:tbl>
      <w:tblPr>
        <w:tblStyle w:val="Style_2"/>
        <w:tblW w:type="auto" w:w="0"/>
        <w:tblLayout w:type="fixed"/>
      </w:tblPr>
      <w:tblGrid>
        <w:gridCol w:w="3510"/>
        <w:gridCol w:w="6061"/>
      </w:tblGrid>
      <w:tr>
        <w:tc>
          <w:tcPr>
            <w:tcW w:type="dxa" w:w="3510"/>
            <w:shd w:fill="auto" w:val="clear"/>
          </w:tcPr>
          <w:p w14:paraId="93000000">
            <w:pPr>
              <w:ind/>
              <w:jc w:val="both"/>
              <w:rPr>
                <w:b w:val="1"/>
              </w:rPr>
            </w:pPr>
            <w:r>
              <w:rPr>
                <w:b w:val="1"/>
              </w:rPr>
              <w:t>Странадко Ольга Николаевна</w:t>
            </w:r>
          </w:p>
        </w:tc>
        <w:tc>
          <w:tcPr>
            <w:tcW w:type="dxa" w:w="6061"/>
            <w:shd w:fill="auto" w:val="clear"/>
          </w:tcPr>
          <w:p w14:paraId="94000000">
            <w:pPr>
              <w:ind/>
              <w:jc w:val="both"/>
              <w:rPr>
                <w:b w:val="1"/>
              </w:rPr>
            </w:pPr>
            <w:r>
              <w:t>– </w:t>
            </w:r>
            <w:r>
              <w:t>член</w:t>
            </w:r>
            <w:r>
              <w:t xml:space="preserve"> </w:t>
            </w:r>
            <w:r>
              <w:t>Территориальной избирательной комиссии города Таганрога (западная) Ростовской области с правом решающего голоса</w:t>
            </w:r>
          </w:p>
        </w:tc>
      </w:tr>
    </w:tbl>
    <w:p w14:paraId="95000000">
      <w:pPr>
        <w:ind/>
        <w:jc w:val="center"/>
        <w:rPr>
          <w:b w:val="1"/>
        </w:rPr>
      </w:pPr>
    </w:p>
    <w:p w14:paraId="96000000">
      <w:pPr>
        <w:ind/>
        <w:jc w:val="center"/>
        <w:rPr>
          <w:b w:val="1"/>
        </w:rPr>
      </w:pPr>
      <w:r>
        <w:rPr>
          <w:b w:val="1"/>
        </w:rPr>
        <w:t>Члены Рабочей группы:</w:t>
      </w:r>
    </w:p>
    <w:tbl>
      <w:tblPr>
        <w:tblStyle w:val="Style_2"/>
        <w:tblW w:type="auto" w:w="0"/>
        <w:tblLayout w:type="fixed"/>
      </w:tblPr>
      <w:tblGrid>
        <w:gridCol w:w="3510"/>
        <w:gridCol w:w="6060"/>
      </w:tblGrid>
      <w:tr>
        <w:tc>
          <w:tcPr>
            <w:tcW w:type="dxa" w:w="3510"/>
            <w:shd w:fill="auto" w:val="clear"/>
            <w:tcMar>
              <w:bottom w:type="dxa" w:w="57"/>
            </w:tcMar>
          </w:tcPr>
          <w:p w14:paraId="97000000">
            <w:pPr>
              <w:ind/>
              <w:jc w:val="both"/>
              <w:rPr>
                <w:b w:val="1"/>
              </w:rPr>
            </w:pPr>
            <w:r>
              <w:rPr>
                <w:b w:val="1"/>
              </w:rPr>
              <w:t>Райтбурт Елена Игоревна</w:t>
            </w:r>
          </w:p>
        </w:tc>
        <w:tc>
          <w:tcPr>
            <w:tcW w:type="dxa" w:w="6060"/>
            <w:shd w:fill="auto" w:val="clear"/>
            <w:tcMar>
              <w:bottom w:type="dxa" w:w="57"/>
            </w:tcMar>
          </w:tcPr>
          <w:p w14:paraId="98000000">
            <w:pPr>
              <w:ind/>
              <w:jc w:val="both"/>
              <w:rPr>
                <w:b w:val="1"/>
              </w:rPr>
            </w:pPr>
            <w:r>
              <w:t>– </w:t>
            </w:r>
            <w:r>
              <w:t>член</w:t>
            </w:r>
            <w:r>
              <w:t xml:space="preserve"> </w:t>
            </w:r>
            <w:r>
              <w:t>Территориальной и</w:t>
            </w:r>
            <w:r>
              <w:t xml:space="preserve">збирательной комиссии </w:t>
            </w:r>
            <w:r>
              <w:t xml:space="preserve">города Таганрога (западная) Ростовской области </w:t>
            </w:r>
            <w:r>
              <w:t>с правом решающего голоса</w:t>
            </w:r>
          </w:p>
        </w:tc>
      </w:tr>
      <w:tr>
        <w:tc>
          <w:tcPr>
            <w:tcW w:type="dxa" w:w="3510"/>
            <w:tcMar>
              <w:bottom w:type="dxa" w:w="57"/>
            </w:tcMar>
          </w:tcPr>
          <w:p w14:paraId="99000000">
            <w:pPr>
              <w:keepNext w:val="1"/>
              <w:tabs>
                <w:tab w:leader="none" w:pos="191" w:val="left"/>
                <w:tab w:leader="none" w:pos="386" w:val="left"/>
              </w:tabs>
              <w:ind w:firstLine="0" w:left="34"/>
              <w:outlineLvl w:val="0"/>
            </w:pPr>
          </w:p>
        </w:tc>
        <w:tc>
          <w:tcPr>
            <w:tcW w:type="dxa" w:w="6060"/>
            <w:tcMar>
              <w:bottom w:type="dxa" w:w="57"/>
            </w:tcMar>
          </w:tcPr>
          <w:p w14:paraId="9A000000">
            <w:pPr>
              <w:ind/>
              <w:jc w:val="both"/>
            </w:pPr>
          </w:p>
        </w:tc>
      </w:tr>
    </w:tbl>
    <w:p w14:paraId="9B000000">
      <w:pPr>
        <w:widowControl w:val="0"/>
        <w:ind w:firstLine="0" w:left="5812"/>
        <w:jc w:val="center"/>
      </w:pPr>
    </w:p>
    <w:p w14:paraId="9C000000">
      <w:pPr>
        <w:widowControl w:val="0"/>
        <w:ind w:firstLine="0" w:left="5812"/>
        <w:jc w:val="center"/>
      </w:pPr>
    </w:p>
    <w:p w14:paraId="9D000000">
      <w:pPr>
        <w:widowControl w:val="0"/>
        <w:ind w:firstLine="0" w:left="5812"/>
        <w:jc w:val="center"/>
      </w:pPr>
    </w:p>
    <w:sectPr>
      <w:pgSz w:h="16840" w:orient="portrait" w:w="11907"/>
      <w:pgMar w:bottom="709" w:footer="1134" w:gutter="0" w:header="567" w:left="1701" w:right="850" w:top="851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lowerLetter"/>
      <w:lvlText w:val="%2."/>
      <w:lvlJc w:val="left"/>
      <w:pPr>
        <w:ind w:hanging="360" w:left="1080"/>
      </w:pPr>
    </w:lvl>
    <w:lvl w:ilvl="2">
      <w:start w:val="1"/>
      <w:numFmt w:val="lowerRoman"/>
      <w:lvlText w:val="%3."/>
      <w:lvlJc w:val="right"/>
      <w:pPr>
        <w:ind w:hanging="180" w:left="1800"/>
      </w:pPr>
    </w:lvl>
    <w:lvl w:ilvl="3">
      <w:start w:val="1"/>
      <w:numFmt w:val="decimal"/>
      <w:lvlText w:val="%4."/>
      <w:lvlJc w:val="left"/>
      <w:pPr>
        <w:ind w:hanging="360" w:left="2520"/>
      </w:pPr>
    </w:lvl>
    <w:lvl w:ilvl="4">
      <w:start w:val="1"/>
      <w:numFmt w:val="lowerLetter"/>
      <w:lvlText w:val="%5."/>
      <w:lvlJc w:val="left"/>
      <w:pPr>
        <w:ind w:hanging="360" w:left="3240"/>
      </w:pPr>
    </w:lvl>
    <w:lvl w:ilvl="5">
      <w:start w:val="1"/>
      <w:numFmt w:val="lowerRoman"/>
      <w:lvlText w:val="%6."/>
      <w:lvlJc w:val="right"/>
      <w:pPr>
        <w:ind w:hanging="180" w:left="3960"/>
      </w:pPr>
    </w:lvl>
    <w:lvl w:ilvl="6">
      <w:start w:val="1"/>
      <w:numFmt w:val="decimal"/>
      <w:lvlText w:val="%7."/>
      <w:lvlJc w:val="left"/>
      <w:pPr>
        <w:ind w:hanging="360" w:left="4680"/>
      </w:pPr>
    </w:lvl>
    <w:lvl w:ilvl="7">
      <w:start w:val="1"/>
      <w:numFmt w:val="lowerLetter"/>
      <w:lvlText w:val="%8."/>
      <w:lvlJc w:val="left"/>
      <w:pPr>
        <w:ind w:hanging="360" w:left="5400"/>
      </w:pPr>
    </w:lvl>
    <w:lvl w:ilvl="8">
      <w:start w:val="1"/>
      <w:numFmt w:val="lowerRoman"/>
      <w:lvlText w:val="%9."/>
      <w:lvlJc w:val="right"/>
      <w:pPr>
        <w:ind w:hanging="180" w:left="6120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lowerLetter"/>
      <w:lvlText w:val="%2."/>
      <w:lvlJc w:val="left"/>
      <w:pPr>
        <w:ind w:hanging="360" w:left="1080"/>
      </w:pPr>
    </w:lvl>
    <w:lvl w:ilvl="2">
      <w:start w:val="1"/>
      <w:numFmt w:val="lowerRoman"/>
      <w:lvlText w:val="%3."/>
      <w:lvlJc w:val="right"/>
      <w:pPr>
        <w:ind w:hanging="180" w:left="1800"/>
      </w:pPr>
    </w:lvl>
    <w:lvl w:ilvl="3">
      <w:start w:val="1"/>
      <w:numFmt w:val="decimal"/>
      <w:lvlText w:val="%4."/>
      <w:lvlJc w:val="left"/>
      <w:pPr>
        <w:ind w:hanging="360" w:left="2520"/>
      </w:pPr>
    </w:lvl>
    <w:lvl w:ilvl="4">
      <w:start w:val="1"/>
      <w:numFmt w:val="lowerLetter"/>
      <w:lvlText w:val="%5."/>
      <w:lvlJc w:val="left"/>
      <w:pPr>
        <w:ind w:hanging="360" w:left="3240"/>
      </w:pPr>
    </w:lvl>
    <w:lvl w:ilvl="5">
      <w:start w:val="1"/>
      <w:numFmt w:val="lowerRoman"/>
      <w:lvlText w:val="%6."/>
      <w:lvlJc w:val="right"/>
      <w:pPr>
        <w:ind w:hanging="180" w:left="3960"/>
      </w:pPr>
    </w:lvl>
    <w:lvl w:ilvl="6">
      <w:start w:val="1"/>
      <w:numFmt w:val="decimal"/>
      <w:lvlText w:val="%7."/>
      <w:lvlJc w:val="left"/>
      <w:pPr>
        <w:ind w:hanging="360" w:left="4680"/>
      </w:pPr>
    </w:lvl>
    <w:lvl w:ilvl="7">
      <w:start w:val="1"/>
      <w:numFmt w:val="lowerLetter"/>
      <w:lvlText w:val="%8."/>
      <w:lvlJc w:val="left"/>
      <w:pPr>
        <w:ind w:hanging="360" w:left="5400"/>
      </w:pPr>
    </w:lvl>
    <w:lvl w:ilvl="8">
      <w:start w:val="1"/>
      <w:numFmt w:val="lowerRoman"/>
      <w:lvlText w:val="%9."/>
      <w:lvlJc w:val="right"/>
      <w:pPr>
        <w:ind w:hanging="180" w:left="61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sz w:val="28"/>
    </w:rPr>
  </w:style>
  <w:style w:default="1" w:styleId="Style_4_ch" w:type="character">
    <w:name w:val="Normal"/>
    <w:link w:val="Style_4"/>
    <w:rPr>
      <w:sz w:val="28"/>
    </w:rPr>
  </w:style>
  <w:style w:styleId="Style_5" w:type="paragraph">
    <w:name w:val="toc 2"/>
    <w:next w:val="Style_4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Body Text"/>
    <w:basedOn w:val="Style_4"/>
    <w:link w:val="Style_6_ch"/>
    <w:pPr>
      <w:spacing w:line="360" w:lineRule="auto"/>
      <w:ind/>
      <w:jc w:val="both"/>
    </w:pPr>
  </w:style>
  <w:style w:styleId="Style_6_ch" w:type="character">
    <w:name w:val="Body Text"/>
    <w:basedOn w:val="Style_4_ch"/>
    <w:link w:val="Style_6"/>
  </w:style>
  <w:style w:styleId="Style_7" w:type="paragraph">
    <w:name w:val="toc 4"/>
    <w:next w:val="Style_4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ConsNonformat"/>
    <w:link w:val="Style_8_ch"/>
    <w:pPr>
      <w:widowControl w:val="0"/>
      <w:ind/>
    </w:pPr>
    <w:rPr>
      <w:rFonts w:ascii="Courier New" w:hAnsi="Courier New"/>
    </w:rPr>
  </w:style>
  <w:style w:styleId="Style_8_ch" w:type="character">
    <w:name w:val="ConsNonformat"/>
    <w:link w:val="Style_8"/>
    <w:rPr>
      <w:rFonts w:ascii="Courier New" w:hAnsi="Courier New"/>
    </w:rPr>
  </w:style>
  <w:style w:styleId="Style_9" w:type="paragraph">
    <w:name w:val="heading 7"/>
    <w:basedOn w:val="Style_4"/>
    <w:next w:val="Style_4"/>
    <w:link w:val="Style_9_ch"/>
    <w:uiPriority w:val="9"/>
    <w:qFormat/>
    <w:pPr>
      <w:spacing w:after="60" w:before="240"/>
      <w:ind/>
      <w:outlineLvl w:val="6"/>
    </w:pPr>
    <w:rPr>
      <w:sz w:val="24"/>
    </w:rPr>
  </w:style>
  <w:style w:styleId="Style_9_ch" w:type="character">
    <w:name w:val="heading 7"/>
    <w:basedOn w:val="Style_4_ch"/>
    <w:link w:val="Style_9"/>
    <w:rPr>
      <w:sz w:val="24"/>
    </w:rPr>
  </w:style>
  <w:style w:styleId="Style_10" w:type="paragraph">
    <w:name w:val="toc 6"/>
    <w:next w:val="Style_4"/>
    <w:link w:val="Style_10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4"/>
    <w:link w:val="Style_11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footnote reference"/>
    <w:link w:val="Style_12_ch"/>
    <w:rPr>
      <w:vertAlign w:val="superscript"/>
    </w:rPr>
  </w:style>
  <w:style w:styleId="Style_12_ch" w:type="character">
    <w:name w:val="footnote reference"/>
    <w:link w:val="Style_12"/>
    <w:rPr>
      <w:vertAlign w:val="superscript"/>
    </w:rPr>
  </w:style>
  <w:style w:styleId="Style_13" w:type="paragraph">
    <w:name w:val="Balloon Text"/>
    <w:basedOn w:val="Style_4"/>
    <w:link w:val="Style_13_ch"/>
    <w:rPr>
      <w:rFonts w:ascii="Tahoma" w:hAnsi="Tahoma"/>
      <w:sz w:val="16"/>
    </w:rPr>
  </w:style>
  <w:style w:styleId="Style_13_ch" w:type="character">
    <w:name w:val="Balloon Text"/>
    <w:basedOn w:val="Style_4_ch"/>
    <w:link w:val="Style_13"/>
    <w:rPr>
      <w:rFonts w:ascii="Tahoma" w:hAnsi="Tahoma"/>
      <w:sz w:val="16"/>
    </w:rPr>
  </w:style>
  <w:style w:styleId="Style_14" w:type="paragraph">
    <w:name w:val="Body Text 3"/>
    <w:basedOn w:val="Style_4"/>
    <w:link w:val="Style_14_ch"/>
    <w:pPr>
      <w:spacing w:after="120"/>
      <w:ind/>
    </w:pPr>
    <w:rPr>
      <w:sz w:val="16"/>
    </w:rPr>
  </w:style>
  <w:style w:styleId="Style_14_ch" w:type="character">
    <w:name w:val="Body Text 3"/>
    <w:basedOn w:val="Style_4_ch"/>
    <w:link w:val="Style_14"/>
    <w:rPr>
      <w:sz w:val="16"/>
    </w:rPr>
  </w:style>
  <w:style w:styleId="Style_15" w:type="paragraph">
    <w:name w:val="Т-1"/>
    <w:basedOn w:val="Style_4"/>
    <w:link w:val="Style_15_ch"/>
    <w:pPr>
      <w:spacing w:line="360" w:lineRule="auto"/>
      <w:ind w:firstLine="720" w:left="0"/>
      <w:jc w:val="both"/>
    </w:pPr>
  </w:style>
  <w:style w:styleId="Style_15_ch" w:type="character">
    <w:name w:val="Т-1"/>
    <w:basedOn w:val="Style_4_ch"/>
    <w:link w:val="Style_15"/>
  </w:style>
  <w:style w:styleId="Style_16" w:type="paragraph">
    <w:name w:val="End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Endnote"/>
    <w:link w:val="Style_16"/>
    <w:rPr>
      <w:rFonts w:ascii="XO Thames" w:hAnsi="XO Thames"/>
      <w:sz w:val="22"/>
    </w:rPr>
  </w:style>
  <w:style w:styleId="Style_17" w:type="paragraph">
    <w:name w:val="heading 3"/>
    <w:basedOn w:val="Style_4"/>
    <w:next w:val="Style_4"/>
    <w:link w:val="Style_17_ch"/>
    <w:uiPriority w:val="9"/>
    <w:qFormat/>
    <w:pPr>
      <w:keepNext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17_ch" w:type="character">
    <w:name w:val="heading 3"/>
    <w:basedOn w:val="Style_4_ch"/>
    <w:link w:val="Style_17"/>
    <w:rPr>
      <w:rFonts w:ascii="Arial" w:hAnsi="Arial"/>
      <w:b w:val="1"/>
      <w:sz w:val="26"/>
    </w:rPr>
  </w:style>
  <w:style w:styleId="Style_18" w:type="paragraph">
    <w:name w:val="Текст выноски Знак"/>
    <w:link w:val="Style_18_ch"/>
    <w:rPr>
      <w:rFonts w:ascii="Tahoma" w:hAnsi="Tahoma"/>
      <w:sz w:val="16"/>
    </w:rPr>
  </w:style>
  <w:style w:styleId="Style_18_ch" w:type="character">
    <w:name w:val="Текст выноски Знак"/>
    <w:link w:val="Style_18"/>
    <w:rPr>
      <w:rFonts w:ascii="Tahoma" w:hAnsi="Tahoma"/>
      <w:sz w:val="16"/>
    </w:rPr>
  </w:style>
  <w:style w:styleId="Style_19" w:type="paragraph">
    <w:name w:val="Body Text Indent 3"/>
    <w:basedOn w:val="Style_4"/>
    <w:link w:val="Style_19_ch"/>
    <w:pPr>
      <w:spacing w:line="360" w:lineRule="auto"/>
      <w:ind w:hanging="4962" w:left="5529"/>
      <w:jc w:val="both"/>
    </w:pPr>
  </w:style>
  <w:style w:styleId="Style_19_ch" w:type="character">
    <w:name w:val="Body Text Indent 3"/>
    <w:basedOn w:val="Style_4_ch"/>
    <w:link w:val="Style_19"/>
  </w:style>
  <w:style w:styleId="Style_3" w:type="paragraph">
    <w:name w:val="Содерж"/>
    <w:basedOn w:val="Style_4"/>
    <w:link w:val="Style_3_ch"/>
    <w:pPr>
      <w:keepNext w:val="1"/>
      <w:spacing w:after="120"/>
      <w:ind/>
      <w:jc w:val="center"/>
    </w:pPr>
    <w:rPr>
      <w:b w:val="1"/>
    </w:rPr>
  </w:style>
  <w:style w:styleId="Style_3_ch" w:type="character">
    <w:name w:val="Содерж"/>
    <w:basedOn w:val="Style_4_ch"/>
    <w:link w:val="Style_3"/>
    <w:rPr>
      <w:b w:val="1"/>
    </w:rPr>
  </w:style>
  <w:style w:styleId="Style_20" w:type="paragraph">
    <w:name w:val="Проектный"/>
    <w:basedOn w:val="Style_4"/>
    <w:link w:val="Style_20_ch"/>
    <w:pPr>
      <w:spacing w:after="120" w:line="360" w:lineRule="auto"/>
      <w:ind w:firstLine="709" w:left="0"/>
      <w:jc w:val="both"/>
    </w:pPr>
  </w:style>
  <w:style w:styleId="Style_20_ch" w:type="character">
    <w:name w:val="Проектный"/>
    <w:basedOn w:val="Style_4_ch"/>
    <w:link w:val="Style_20"/>
  </w:style>
  <w:style w:styleId="Style_21" w:type="paragraph">
    <w:name w:val="Body Text 2"/>
    <w:basedOn w:val="Style_4"/>
    <w:link w:val="Style_21_ch"/>
    <w:pPr>
      <w:spacing w:after="120" w:line="480" w:lineRule="auto"/>
      <w:ind/>
    </w:pPr>
  </w:style>
  <w:style w:styleId="Style_21_ch" w:type="character">
    <w:name w:val="Body Text 2"/>
    <w:basedOn w:val="Style_4_ch"/>
    <w:link w:val="Style_21"/>
  </w:style>
  <w:style w:styleId="Style_22" w:type="paragraph">
    <w:name w:val="toc 3"/>
    <w:next w:val="Style_4"/>
    <w:link w:val="Style_2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2_ch" w:type="character">
    <w:name w:val="toc 3"/>
    <w:link w:val="Style_22"/>
    <w:rPr>
      <w:rFonts w:ascii="XO Thames" w:hAnsi="XO Thames"/>
      <w:sz w:val="28"/>
    </w:rPr>
  </w:style>
  <w:style w:styleId="Style_23" w:type="paragraph">
    <w:name w:val="ConsPlusNonformat"/>
    <w:link w:val="Style_23_ch"/>
    <w:pPr>
      <w:widowControl w:val="0"/>
      <w:ind/>
    </w:pPr>
    <w:rPr>
      <w:rFonts w:ascii="Courier New" w:hAnsi="Courier New"/>
    </w:rPr>
  </w:style>
  <w:style w:styleId="Style_23_ch" w:type="character">
    <w:name w:val="ConsPlusNonformat"/>
    <w:link w:val="Style_23"/>
    <w:rPr>
      <w:rFonts w:ascii="Courier New" w:hAnsi="Courier New"/>
    </w:rPr>
  </w:style>
  <w:style w:styleId="Style_24" w:type="paragraph">
    <w:name w:val="page number"/>
    <w:basedOn w:val="Style_25"/>
    <w:link w:val="Style_24_ch"/>
  </w:style>
  <w:style w:styleId="Style_24_ch" w:type="character">
    <w:name w:val="page number"/>
    <w:basedOn w:val="Style_25_ch"/>
    <w:link w:val="Style_24"/>
  </w:style>
  <w:style w:styleId="Style_26" w:type="paragraph">
    <w:name w:val="Заголовочек 1"/>
    <w:basedOn w:val="Style_4"/>
    <w:link w:val="Style_26_ch"/>
    <w:pPr>
      <w:spacing w:line="360" w:lineRule="auto"/>
      <w:ind/>
      <w:jc w:val="center"/>
    </w:pPr>
    <w:rPr>
      <w:b w:val="1"/>
      <w:smallCaps w:val="1"/>
      <w:spacing w:val="60"/>
    </w:rPr>
  </w:style>
  <w:style w:styleId="Style_26_ch" w:type="character">
    <w:name w:val="Заголовочек 1"/>
    <w:basedOn w:val="Style_4_ch"/>
    <w:link w:val="Style_26"/>
    <w:rPr>
      <w:b w:val="1"/>
      <w:smallCaps w:val="1"/>
      <w:spacing w:val="60"/>
    </w:rPr>
  </w:style>
  <w:style w:styleId="Style_27" w:type="paragraph">
    <w:name w:val="Текст 14-1.5.Стиль12-1"/>
    <w:basedOn w:val="Style_4"/>
    <w:link w:val="Style_27_ch"/>
    <w:pPr>
      <w:spacing w:line="360" w:lineRule="auto"/>
      <w:ind w:firstLine="709" w:left="0"/>
      <w:jc w:val="both"/>
    </w:pPr>
    <w:rPr>
      <w:sz w:val="24"/>
    </w:rPr>
  </w:style>
  <w:style w:styleId="Style_27_ch" w:type="character">
    <w:name w:val="Текст 14-1.5.Стиль12-1"/>
    <w:basedOn w:val="Style_4_ch"/>
    <w:link w:val="Style_27"/>
    <w:rPr>
      <w:sz w:val="24"/>
    </w:rPr>
  </w:style>
  <w:style w:styleId="Style_28" w:type="paragraph">
    <w:name w:val="heading 5"/>
    <w:basedOn w:val="Style_4"/>
    <w:next w:val="Style_4"/>
    <w:link w:val="Style_28_ch"/>
    <w:uiPriority w:val="9"/>
    <w:qFormat/>
    <w:pPr>
      <w:spacing w:after="60" w:before="240"/>
      <w:ind/>
      <w:outlineLvl w:val="4"/>
    </w:pPr>
    <w:rPr>
      <w:b w:val="1"/>
      <w:i w:val="1"/>
      <w:sz w:val="26"/>
    </w:rPr>
  </w:style>
  <w:style w:styleId="Style_28_ch" w:type="character">
    <w:name w:val="heading 5"/>
    <w:basedOn w:val="Style_4_ch"/>
    <w:link w:val="Style_28"/>
    <w:rPr>
      <w:b w:val="1"/>
      <w:i w:val="1"/>
      <w:sz w:val="26"/>
    </w:rPr>
  </w:style>
  <w:style w:styleId="Style_29" w:type="paragraph">
    <w:name w:val="heading 1"/>
    <w:basedOn w:val="Style_4"/>
    <w:next w:val="Style_4"/>
    <w:link w:val="Style_29_ch"/>
    <w:uiPriority w:val="9"/>
    <w:qFormat/>
    <w:pPr>
      <w:keepNext w:val="1"/>
      <w:ind/>
      <w:outlineLvl w:val="0"/>
    </w:pPr>
  </w:style>
  <w:style w:styleId="Style_29_ch" w:type="character">
    <w:name w:val="heading 1"/>
    <w:basedOn w:val="Style_4_ch"/>
    <w:link w:val="Style_29"/>
  </w:style>
  <w:style w:styleId="Style_30" w:type="paragraph">
    <w:name w:val="Hyperlink"/>
    <w:link w:val="Style_30_ch"/>
    <w:rPr>
      <w:color w:val="0000FF"/>
      <w:u w:val="single"/>
    </w:rPr>
  </w:style>
  <w:style w:styleId="Style_30_ch" w:type="character">
    <w:name w:val="Hyperlink"/>
    <w:link w:val="Style_30"/>
    <w:rPr>
      <w:color w:val="0000FF"/>
      <w:u w:val="single"/>
    </w:rPr>
  </w:style>
  <w:style w:styleId="Style_31" w:type="paragraph">
    <w:name w:val="Footnote"/>
    <w:basedOn w:val="Style_4"/>
    <w:link w:val="Style_31_ch"/>
    <w:rPr>
      <w:rFonts w:ascii="Arial" w:hAnsi="Arial"/>
      <w:sz w:val="24"/>
    </w:rPr>
  </w:style>
  <w:style w:styleId="Style_31_ch" w:type="character">
    <w:name w:val="Footnote"/>
    <w:basedOn w:val="Style_4_ch"/>
    <w:link w:val="Style_31"/>
    <w:rPr>
      <w:rFonts w:ascii="Arial" w:hAnsi="Arial"/>
      <w:sz w:val="24"/>
    </w:rPr>
  </w:style>
  <w:style w:styleId="Style_32" w:type="paragraph">
    <w:name w:val="toc 1"/>
    <w:next w:val="Style_4"/>
    <w:link w:val="Style_3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32_ch" w:type="character">
    <w:name w:val="toc 1"/>
    <w:link w:val="Style_32"/>
    <w:rPr>
      <w:rFonts w:ascii="XO Thames" w:hAnsi="XO Thames"/>
      <w:b w:val="1"/>
      <w:sz w:val="28"/>
    </w:rPr>
  </w:style>
  <w:style w:styleId="Style_33" w:type="paragraph">
    <w:name w:val="Стиль1"/>
    <w:basedOn w:val="Style_4"/>
    <w:link w:val="Style_33_ch"/>
  </w:style>
  <w:style w:styleId="Style_33_ch" w:type="character">
    <w:name w:val="Стиль1"/>
    <w:basedOn w:val="Style_4_ch"/>
    <w:link w:val="Style_33"/>
  </w:style>
  <w:style w:styleId="Style_34" w:type="paragraph">
    <w:name w:val="Header and Footer"/>
    <w:link w:val="Style_34_ch"/>
    <w:pPr>
      <w:spacing w:line="240" w:lineRule="auto"/>
      <w:ind/>
      <w:jc w:val="both"/>
    </w:pPr>
    <w:rPr>
      <w:rFonts w:ascii="XO Thames" w:hAnsi="XO Thames"/>
      <w:sz w:val="28"/>
    </w:rPr>
  </w:style>
  <w:style w:styleId="Style_34_ch" w:type="character">
    <w:name w:val="Header and Footer"/>
    <w:link w:val="Style_34"/>
    <w:rPr>
      <w:rFonts w:ascii="XO Thames" w:hAnsi="XO Thames"/>
      <w:sz w:val="28"/>
    </w:rPr>
  </w:style>
  <w:style w:styleId="Style_25" w:type="paragraph">
    <w:name w:val="Default Paragraph Font"/>
    <w:link w:val="Style_25_ch"/>
  </w:style>
  <w:style w:styleId="Style_25_ch" w:type="character">
    <w:name w:val="Default Paragraph Font"/>
    <w:link w:val="Style_25"/>
  </w:style>
  <w:style w:styleId="Style_35" w:type="paragraph">
    <w:name w:val="Body Text Indent 2"/>
    <w:basedOn w:val="Style_4"/>
    <w:link w:val="Style_35_ch"/>
    <w:pPr>
      <w:ind w:firstLine="851" w:left="0"/>
    </w:pPr>
  </w:style>
  <w:style w:styleId="Style_35_ch" w:type="character">
    <w:name w:val="Body Text Indent 2"/>
    <w:basedOn w:val="Style_4_ch"/>
    <w:link w:val="Style_35"/>
  </w:style>
  <w:style w:styleId="Style_36" w:type="paragraph">
    <w:name w:val="toc 9"/>
    <w:next w:val="Style_4"/>
    <w:link w:val="Style_3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36_ch" w:type="character">
    <w:name w:val="toc 9"/>
    <w:link w:val="Style_36"/>
    <w:rPr>
      <w:rFonts w:ascii="XO Thames" w:hAnsi="XO Thames"/>
      <w:sz w:val="28"/>
    </w:rPr>
  </w:style>
  <w:style w:styleId="Style_37" w:type="paragraph">
    <w:name w:val="header"/>
    <w:basedOn w:val="Style_4"/>
    <w:link w:val="Style_37_ch"/>
    <w:pPr>
      <w:tabs>
        <w:tab w:leader="none" w:pos="4677" w:val="center"/>
        <w:tab w:leader="none" w:pos="9355" w:val="right"/>
      </w:tabs>
      <w:ind/>
    </w:pPr>
  </w:style>
  <w:style w:styleId="Style_37_ch" w:type="character">
    <w:name w:val="header"/>
    <w:basedOn w:val="Style_4_ch"/>
    <w:link w:val="Style_37"/>
  </w:style>
  <w:style w:styleId="Style_38" w:type="paragraph">
    <w:name w:val="Верхний колонтитул1"/>
    <w:basedOn w:val="Style_4"/>
    <w:link w:val="Style_38_ch"/>
    <w:pPr>
      <w:tabs>
        <w:tab w:leader="none" w:pos="4536" w:val="center"/>
        <w:tab w:leader="none" w:pos="9072" w:val="right"/>
      </w:tabs>
      <w:ind/>
    </w:pPr>
    <w:rPr>
      <w:sz w:val="20"/>
    </w:rPr>
  </w:style>
  <w:style w:styleId="Style_38_ch" w:type="character">
    <w:name w:val="Верхний колонтитул1"/>
    <w:basedOn w:val="Style_4_ch"/>
    <w:link w:val="Style_38"/>
    <w:rPr>
      <w:sz w:val="20"/>
    </w:rPr>
  </w:style>
  <w:style w:styleId="Style_39" w:type="paragraph">
    <w:name w:val="List Paragraph"/>
    <w:basedOn w:val="Style_4"/>
    <w:link w:val="Style_39_ch"/>
    <w:pPr>
      <w:spacing w:after="200" w:line="276" w:lineRule="auto"/>
      <w:ind w:firstLine="0" w:left="720"/>
      <w:contextualSpacing w:val="1"/>
    </w:pPr>
    <w:rPr>
      <w:rFonts w:ascii="Calibri" w:hAnsi="Calibri"/>
      <w:sz w:val="22"/>
    </w:rPr>
  </w:style>
  <w:style w:styleId="Style_39_ch" w:type="character">
    <w:name w:val="List Paragraph"/>
    <w:basedOn w:val="Style_4_ch"/>
    <w:link w:val="Style_39"/>
    <w:rPr>
      <w:rFonts w:ascii="Calibri" w:hAnsi="Calibri"/>
      <w:sz w:val="22"/>
    </w:rPr>
  </w:style>
  <w:style w:styleId="Style_40" w:type="paragraph">
    <w:name w:val="Нижний колонтитул Знак"/>
    <w:link w:val="Style_40_ch"/>
    <w:rPr>
      <w:sz w:val="28"/>
    </w:rPr>
  </w:style>
  <w:style w:styleId="Style_40_ch" w:type="character">
    <w:name w:val="Нижний колонтитул Знак"/>
    <w:link w:val="Style_40"/>
    <w:rPr>
      <w:sz w:val="28"/>
    </w:rPr>
  </w:style>
  <w:style w:styleId="Style_41" w:type="paragraph">
    <w:name w:val="toc 8"/>
    <w:next w:val="Style_4"/>
    <w:link w:val="Style_41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41_ch" w:type="character">
    <w:name w:val="toc 8"/>
    <w:link w:val="Style_41"/>
    <w:rPr>
      <w:rFonts w:ascii="XO Thames" w:hAnsi="XO Thames"/>
      <w:sz w:val="28"/>
    </w:rPr>
  </w:style>
  <w:style w:styleId="Style_1" w:type="paragraph">
    <w:name w:val="No Spacing"/>
    <w:link w:val="Style_1_ch"/>
    <w:rPr>
      <w:rFonts w:ascii="Calibri" w:hAnsi="Calibri"/>
      <w:sz w:val="22"/>
    </w:rPr>
  </w:style>
  <w:style w:styleId="Style_1_ch" w:type="character">
    <w:name w:val="No Spacing"/>
    <w:link w:val="Style_1"/>
    <w:rPr>
      <w:rFonts w:ascii="Calibri" w:hAnsi="Calibri"/>
      <w:sz w:val="22"/>
    </w:rPr>
  </w:style>
  <w:style w:styleId="Style_42" w:type="paragraph">
    <w:name w:val="Заголовок 11"/>
    <w:basedOn w:val="Style_4"/>
    <w:link w:val="Style_42_ch"/>
    <w:pPr>
      <w:keepNext w:val="1"/>
      <w:ind/>
      <w:outlineLvl w:val="0"/>
    </w:pPr>
    <w:rPr>
      <w:b w:val="1"/>
      <w:sz w:val="36"/>
    </w:rPr>
  </w:style>
  <w:style w:styleId="Style_42_ch" w:type="character">
    <w:name w:val="Заголовок 11"/>
    <w:basedOn w:val="Style_4_ch"/>
    <w:link w:val="Style_42"/>
    <w:rPr>
      <w:b w:val="1"/>
      <w:sz w:val="36"/>
    </w:rPr>
  </w:style>
  <w:style w:styleId="Style_43" w:type="paragraph">
    <w:name w:val="Верхний колонтитул Знак1"/>
    <w:link w:val="Style_43_ch"/>
    <w:rPr>
      <w:rFonts w:ascii="Times New Roman" w:hAnsi="Times New Roman"/>
      <w:sz w:val="24"/>
    </w:rPr>
  </w:style>
  <w:style w:styleId="Style_43_ch" w:type="character">
    <w:name w:val="Верхний колонтитул Знак1"/>
    <w:link w:val="Style_43"/>
    <w:rPr>
      <w:rFonts w:ascii="Times New Roman" w:hAnsi="Times New Roman"/>
      <w:sz w:val="24"/>
    </w:rPr>
  </w:style>
  <w:style w:styleId="Style_44" w:type="paragraph">
    <w:name w:val="ConsPlusCell"/>
    <w:link w:val="Style_44_ch"/>
    <w:pPr>
      <w:widowControl w:val="0"/>
      <w:ind/>
    </w:pPr>
    <w:rPr>
      <w:rFonts w:ascii="Arial" w:hAnsi="Arial"/>
    </w:rPr>
  </w:style>
  <w:style w:styleId="Style_44_ch" w:type="character">
    <w:name w:val="ConsPlusCell"/>
    <w:link w:val="Style_44"/>
    <w:rPr>
      <w:rFonts w:ascii="Arial" w:hAnsi="Arial"/>
    </w:rPr>
  </w:style>
  <w:style w:styleId="Style_45" w:type="paragraph">
    <w:name w:val="toc 5"/>
    <w:next w:val="Style_4"/>
    <w:link w:val="Style_4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45_ch" w:type="character">
    <w:name w:val="toc 5"/>
    <w:link w:val="Style_45"/>
    <w:rPr>
      <w:rFonts w:ascii="XO Thames" w:hAnsi="XO Thames"/>
      <w:sz w:val="28"/>
    </w:rPr>
  </w:style>
  <w:style w:styleId="Style_46" w:type="paragraph">
    <w:name w:val="ConsPlusNormal"/>
    <w:link w:val="Style_46_ch"/>
    <w:pPr>
      <w:widowControl w:val="0"/>
      <w:ind w:firstLine="720" w:left="0"/>
    </w:pPr>
    <w:rPr>
      <w:rFonts w:ascii="Arial" w:hAnsi="Arial"/>
    </w:rPr>
  </w:style>
  <w:style w:styleId="Style_46_ch" w:type="character">
    <w:name w:val="ConsPlusNormal"/>
    <w:link w:val="Style_46"/>
    <w:rPr>
      <w:rFonts w:ascii="Arial" w:hAnsi="Arial"/>
    </w:rPr>
  </w:style>
  <w:style w:styleId="Style_47" w:type="paragraph">
    <w:name w:val="Рабочий"/>
    <w:basedOn w:val="Style_4"/>
    <w:link w:val="Style_47_ch"/>
    <w:pPr>
      <w:spacing w:line="360" w:lineRule="auto"/>
      <w:ind w:firstLine="709" w:left="0"/>
      <w:jc w:val="both"/>
    </w:pPr>
    <w:rPr>
      <w:sz w:val="24"/>
    </w:rPr>
  </w:style>
  <w:style w:styleId="Style_47_ch" w:type="character">
    <w:name w:val="Рабочий"/>
    <w:basedOn w:val="Style_4_ch"/>
    <w:link w:val="Style_47"/>
    <w:rPr>
      <w:sz w:val="24"/>
    </w:rPr>
  </w:style>
  <w:style w:styleId="Style_48" w:type="paragraph">
    <w:name w:val="footer"/>
    <w:basedOn w:val="Style_4"/>
    <w:link w:val="Style_48_ch"/>
    <w:pPr>
      <w:tabs>
        <w:tab w:leader="none" w:pos="4677" w:val="center"/>
        <w:tab w:leader="none" w:pos="9355" w:val="right"/>
      </w:tabs>
      <w:ind/>
    </w:pPr>
  </w:style>
  <w:style w:styleId="Style_48_ch" w:type="character">
    <w:name w:val="footer"/>
    <w:basedOn w:val="Style_4_ch"/>
    <w:link w:val="Style_48"/>
  </w:style>
  <w:style w:styleId="Style_49" w:type="paragraph">
    <w:name w:val="Block Text"/>
    <w:basedOn w:val="Style_4"/>
    <w:link w:val="Style_49_ch"/>
    <w:pPr>
      <w:tabs>
        <w:tab w:leader="none" w:pos="7938" w:val="left"/>
      </w:tabs>
      <w:ind w:firstLine="0" w:left="1710" w:right="1717"/>
      <w:jc w:val="both"/>
    </w:pPr>
    <w:rPr>
      <w:rFonts w:ascii="Times New Roman CYR" w:hAnsi="Times New Roman CYR"/>
      <w:b w:val="1"/>
    </w:rPr>
  </w:style>
  <w:style w:styleId="Style_49_ch" w:type="character">
    <w:name w:val="Block Text"/>
    <w:basedOn w:val="Style_4_ch"/>
    <w:link w:val="Style_49"/>
    <w:rPr>
      <w:rFonts w:ascii="Times New Roman CYR" w:hAnsi="Times New Roman CYR"/>
      <w:b w:val="1"/>
    </w:rPr>
  </w:style>
  <w:style w:styleId="Style_50" w:type="paragraph">
    <w:name w:val="Subtitle"/>
    <w:next w:val="Style_4"/>
    <w:link w:val="Style_5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50_ch" w:type="character">
    <w:name w:val="Subtitle"/>
    <w:link w:val="Style_50"/>
    <w:rPr>
      <w:rFonts w:ascii="XO Thames" w:hAnsi="XO Thames"/>
      <w:i w:val="1"/>
      <w:sz w:val="24"/>
    </w:rPr>
  </w:style>
  <w:style w:styleId="Style_51" w:type="paragraph">
    <w:name w:val="Body Text Indent"/>
    <w:basedOn w:val="Style_4"/>
    <w:link w:val="Style_51_ch"/>
    <w:pPr>
      <w:ind w:firstLine="0" w:left="2832"/>
      <w:jc w:val="both"/>
    </w:pPr>
    <w:rPr>
      <w:b w:val="1"/>
    </w:rPr>
  </w:style>
  <w:style w:styleId="Style_51_ch" w:type="character">
    <w:name w:val="Body Text Indent"/>
    <w:basedOn w:val="Style_4_ch"/>
    <w:link w:val="Style_51"/>
    <w:rPr>
      <w:b w:val="1"/>
    </w:rPr>
  </w:style>
  <w:style w:styleId="Style_52" w:type="paragraph">
    <w:name w:val="Title"/>
    <w:next w:val="Style_4"/>
    <w:link w:val="Style_5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52_ch" w:type="character">
    <w:name w:val="Title"/>
    <w:link w:val="Style_52"/>
    <w:rPr>
      <w:rFonts w:ascii="XO Thames" w:hAnsi="XO Thames"/>
      <w:b w:val="1"/>
      <w:caps w:val="1"/>
      <w:sz w:val="40"/>
    </w:rPr>
  </w:style>
  <w:style w:styleId="Style_53" w:type="paragraph">
    <w:name w:val="heading 4"/>
    <w:basedOn w:val="Style_4"/>
    <w:next w:val="Style_4"/>
    <w:link w:val="Style_53_ch"/>
    <w:uiPriority w:val="9"/>
    <w:qFormat/>
    <w:pPr>
      <w:keepNext w:val="1"/>
      <w:spacing w:line="360" w:lineRule="auto"/>
      <w:ind/>
      <w:jc w:val="center"/>
      <w:outlineLvl w:val="3"/>
    </w:pPr>
  </w:style>
  <w:style w:styleId="Style_53_ch" w:type="character">
    <w:name w:val="heading 4"/>
    <w:basedOn w:val="Style_4_ch"/>
    <w:link w:val="Style_53"/>
  </w:style>
  <w:style w:styleId="Style_54" w:type="paragraph">
    <w:name w:val="heading 2"/>
    <w:basedOn w:val="Style_4"/>
    <w:next w:val="Style_4"/>
    <w:link w:val="Style_54_ch"/>
    <w:uiPriority w:val="9"/>
    <w:qFormat/>
    <w:pPr>
      <w:keepNext w:val="1"/>
      <w:ind/>
      <w:jc w:val="center"/>
      <w:outlineLvl w:val="1"/>
    </w:pPr>
    <w:rPr>
      <w:b w:val="1"/>
    </w:rPr>
  </w:style>
  <w:style w:styleId="Style_54_ch" w:type="character">
    <w:name w:val="heading 2"/>
    <w:basedOn w:val="Style_4_ch"/>
    <w:link w:val="Style_54"/>
    <w:rPr>
      <w:b w:val="1"/>
    </w:rPr>
  </w:style>
  <w:style w:styleId="Style_55" w:type="paragraph">
    <w:name w:val="Загл.14"/>
    <w:basedOn w:val="Style_4"/>
    <w:link w:val="Style_55_ch"/>
    <w:pPr>
      <w:widowControl w:val="0"/>
      <w:ind/>
      <w:jc w:val="center"/>
    </w:pPr>
    <w:rPr>
      <w:b w:val="1"/>
    </w:rPr>
  </w:style>
  <w:style w:styleId="Style_55_ch" w:type="character">
    <w:name w:val="Загл.14"/>
    <w:basedOn w:val="Style_4_ch"/>
    <w:link w:val="Style_55"/>
    <w:rPr>
      <w:b w:val="1"/>
    </w:rPr>
  </w:style>
  <w:style w:styleId="Style_56" w:type="paragraph">
    <w:name w:val="Адресат"/>
    <w:basedOn w:val="Style_4"/>
    <w:link w:val="Style_56_ch"/>
    <w:pPr>
      <w:ind w:firstLine="0" w:left="3969"/>
      <w:jc w:val="both"/>
    </w:pPr>
    <w:rPr>
      <w:sz w:val="16"/>
    </w:rPr>
  </w:style>
  <w:style w:styleId="Style_56_ch" w:type="character">
    <w:name w:val="Адресат"/>
    <w:basedOn w:val="Style_4_ch"/>
    <w:link w:val="Style_56"/>
    <w:rPr>
      <w:sz w:val="16"/>
    </w:rPr>
  </w:style>
  <w:style w:styleId="Style_57" w:type="paragraph">
    <w:name w:val="heading 6"/>
    <w:basedOn w:val="Style_4"/>
    <w:next w:val="Style_4"/>
    <w:link w:val="Style_57_ch"/>
    <w:uiPriority w:val="9"/>
    <w:qFormat/>
    <w:pPr>
      <w:spacing w:after="60" w:before="240"/>
      <w:ind/>
      <w:outlineLvl w:val="5"/>
    </w:pPr>
    <w:rPr>
      <w:rFonts w:ascii="Calibri" w:hAnsi="Calibri"/>
      <w:b w:val="1"/>
      <w:sz w:val="22"/>
    </w:rPr>
  </w:style>
  <w:style w:styleId="Style_57_ch" w:type="character">
    <w:name w:val="heading 6"/>
    <w:basedOn w:val="Style_4_ch"/>
    <w:link w:val="Style_57"/>
    <w:rPr>
      <w:rFonts w:ascii="Calibri" w:hAnsi="Calibri"/>
      <w:b w:val="1"/>
      <w:sz w:val="22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58" w:type="table">
    <w:name w:val="Сетка таблицы1"/>
    <w:basedOn w:val="Style_2"/>
    <w:rPr>
      <w:rFonts w:ascii="Calibri" w:hAnsi="Calibri"/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59" w:type="table">
    <w:name w:val="Table Grid"/>
    <w:basedOn w:val="Style_2"/>
    <w:rPr>
      <w:rFonts w:ascii="Calibri" w:hAnsi="Calibri"/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60" w:type="table">
    <w:name w:val="Сетка таблицы2"/>
    <w:basedOn w:val="Style_2"/>
    <w:rPr>
      <w:rFonts w:ascii="Calibri" w:hAnsi="Calibri"/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MyOffice-CoreFramework-Windows/33-1224.848.9398.852.1@81d08b7ef3bfedd37921072551876f29ab5b92ed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2024-09-03T15:13:52Z</dcterms:modified>
</cp:coreProperties>
</file>